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76FD5A5" w14:textId="77777777" w:rsidR="0067255D" w:rsidRDefault="0067255D" w:rsidP="0067255D">
      <w:pPr>
        <w:pStyle w:val="Header"/>
        <w:rPr>
          <w:rFonts w:ascii="Arial" w:hAnsi="Arial" w:cs="Arial"/>
          <w:sz w:val="20"/>
          <w:szCs w:val="20"/>
        </w:rPr>
      </w:pPr>
      <w:r w:rsidRPr="00E15BEE">
        <w:rPr>
          <w:rFonts w:ascii="Arial" w:hAnsi="Arial" w:cs="Arial"/>
          <w:noProof/>
          <w:sz w:val="20"/>
          <w:szCs w:val="20"/>
        </w:rPr>
        <w:drawing>
          <wp:anchor distT="0" distB="0" distL="114300" distR="114300" simplePos="0" relativeHeight="251665408" behindDoc="0" locked="0" layoutInCell="1" allowOverlap="0" wp14:anchorId="4053A184" wp14:editId="63682097">
            <wp:simplePos x="0" y="0"/>
            <wp:positionH relativeFrom="column">
              <wp:posOffset>5257800</wp:posOffset>
            </wp:positionH>
            <wp:positionV relativeFrom="page">
              <wp:posOffset>352821</wp:posOffset>
            </wp:positionV>
            <wp:extent cx="1007505" cy="1009650"/>
            <wp:effectExtent l="0" t="0" r="254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E_Logo_2.jpg"/>
                    <pic:cNvPicPr/>
                  </pic:nvPicPr>
                  <pic:blipFill>
                    <a:blip r:embed="rId8"/>
                    <a:stretch>
                      <a:fillRect/>
                    </a:stretch>
                  </pic:blipFill>
                  <pic:spPr>
                    <a:xfrm>
                      <a:off x="0" y="0"/>
                      <a:ext cx="1007505" cy="1009650"/>
                    </a:xfrm>
                    <a:prstGeom prst="rect">
                      <a:avLst/>
                    </a:prstGeom>
                  </pic:spPr>
                </pic:pic>
              </a:graphicData>
            </a:graphic>
            <wp14:sizeRelH relativeFrom="margin">
              <wp14:pctWidth>0</wp14:pctWidth>
            </wp14:sizeRelH>
            <wp14:sizeRelV relativeFrom="margin">
              <wp14:pctHeight>0</wp14:pctHeight>
            </wp14:sizeRelV>
          </wp:anchor>
        </w:drawing>
      </w:r>
    </w:p>
    <w:p w14:paraId="2863FFDF" w14:textId="77777777" w:rsidR="0067255D" w:rsidRDefault="0067255D" w:rsidP="0067255D">
      <w:pPr>
        <w:pStyle w:val="Header"/>
        <w:rPr>
          <w:rFonts w:ascii="Arial" w:hAnsi="Arial" w:cs="Arial"/>
          <w:b/>
          <w:color w:val="222222"/>
          <w:sz w:val="36"/>
          <w:szCs w:val="36"/>
          <w:shd w:val="clear" w:color="auto" w:fill="FFFFFF"/>
        </w:rPr>
      </w:pPr>
      <w:r>
        <w:rPr>
          <w:rFonts w:ascii="Arial" w:hAnsi="Arial" w:cs="Arial"/>
          <w:b/>
          <w:noProof/>
          <w:color w:val="222222"/>
          <w:sz w:val="36"/>
          <w:szCs w:val="36"/>
        </w:rPr>
        <mc:AlternateContent>
          <mc:Choice Requires="wps">
            <w:drawing>
              <wp:anchor distT="0" distB="0" distL="114300" distR="114300" simplePos="0" relativeHeight="251667456" behindDoc="1" locked="0" layoutInCell="1" allowOverlap="1" wp14:anchorId="2CB72051" wp14:editId="085F86A4">
                <wp:simplePos x="0" y="0"/>
                <wp:positionH relativeFrom="column">
                  <wp:posOffset>16510</wp:posOffset>
                </wp:positionH>
                <wp:positionV relativeFrom="paragraph">
                  <wp:posOffset>44450</wp:posOffset>
                </wp:positionV>
                <wp:extent cx="624840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248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6C8415" id="Straight Connector 4" o:spid="_x0000_s1026" style="position:absolute;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3.5pt" to="493.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" strokecolor="black [3213]" strokeweight=".5pt">
                <v:stroke joinstyle="miter"/>
              </v:line>
            </w:pict>
          </mc:Fallback>
        </mc:AlternateContent>
      </w:r>
    </w:p>
    <w:p w14:paraId="1F5BDB31" w14:textId="192107E0" w:rsidR="0067255D" w:rsidRPr="00AA4A80" w:rsidRDefault="0067255D" w:rsidP="0067255D">
      <w:pPr>
        <w:pStyle w:val="Header"/>
        <w:spacing w:before="240"/>
        <w:rPr>
          <w:rFonts w:ascii="Arial" w:hAnsi="Arial" w:cs="Arial"/>
          <w:spacing w:val="-10"/>
          <w:sz w:val="28"/>
          <w:szCs w:val="28"/>
        </w:rPr>
      </w:pPr>
      <w:r w:rsidRPr="00AA4A80">
        <w:rPr>
          <w:rFonts w:ascii="Arial" w:hAnsi="Arial" w:cs="Arial"/>
          <w:b/>
          <w:color w:val="222222"/>
          <w:spacing w:val="-10"/>
          <w:sz w:val="36"/>
          <w:szCs w:val="36"/>
          <w:shd w:val="clear" w:color="auto" w:fill="FFFFFF"/>
        </w:rPr>
        <w:t xml:space="preserve"> </w:t>
      </w:r>
    </w:p>
    <w:p w14:paraId="3DF6753C" w14:textId="599E3A46" w:rsidR="00197161" w:rsidRPr="00750971" w:rsidRDefault="00CD67B6" w:rsidP="00DB2F02">
      <w:pPr>
        <w:rPr>
          <w:rFonts w:ascii="Arial" w:hAnsi="Arial" w:cs="Arial"/>
          <w:color w:val="auto"/>
          <w:sz w:val="36"/>
          <w:szCs w:val="36"/>
        </w:rPr>
      </w:pPr>
      <w:r w:rsidRPr="002020C3">
        <w:rPr>
          <w:rFonts w:ascii="Arial" w:hAnsi="Arial" w:cs="Arial"/>
          <w:noProof/>
          <w:sz w:val="24"/>
          <w:szCs w:val="24"/>
        </w:rPr>
        <mc:AlternateContent>
          <mc:Choice Requires="wps">
            <w:drawing>
              <wp:anchor distT="45720" distB="45720" distL="114300" distR="114300" simplePos="0" relativeHeight="251666432" behindDoc="1" locked="0" layoutInCell="1" allowOverlap="0" wp14:anchorId="53BCF26E" wp14:editId="4A414378">
                <wp:simplePos x="0" y="0"/>
                <wp:positionH relativeFrom="column">
                  <wp:posOffset>5191125</wp:posOffset>
                </wp:positionH>
                <wp:positionV relativeFrom="page">
                  <wp:posOffset>1476375</wp:posOffset>
                </wp:positionV>
                <wp:extent cx="1276350" cy="1404620"/>
                <wp:effectExtent l="0" t="0" r="0" b="0"/>
                <wp:wrapTight wrapText="bothSides">
                  <wp:wrapPolygon edited="0">
                    <wp:start x="0" y="0"/>
                    <wp:lineTo x="0" y="21076"/>
                    <wp:lineTo x="21278" y="21076"/>
                    <wp:lineTo x="2127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1404620"/>
                        </a:xfrm>
                        <a:prstGeom prst="rect">
                          <a:avLst/>
                        </a:prstGeom>
                        <a:solidFill>
                          <a:srgbClr val="FFFFFF"/>
                        </a:solidFill>
                        <a:ln w="9525">
                          <a:noFill/>
                          <a:miter lim="800000"/>
                          <a:headEnd/>
                          <a:tailEnd/>
                        </a:ln>
                      </wps:spPr>
                      <wps:txbx>
                        <w:txbxContent>
                          <w:p w14:paraId="17EDBCF4" w14:textId="1667F3C5" w:rsidR="00634930" w:rsidRPr="00556790" w:rsidRDefault="00634930" w:rsidP="00556790">
                            <w:pPr>
                              <w:pStyle w:val="Header"/>
                              <w:rPr>
                                <w:rFonts w:ascii="Arial" w:hAnsi="Arial" w:cs="Arial"/>
                                <w:spacing w:val="-6"/>
                                <w:sz w:val="18"/>
                                <w:szCs w:val="18"/>
                              </w:rPr>
                            </w:pPr>
                            <w:r w:rsidRPr="00556790">
                              <w:rPr>
                                <w:rFonts w:ascii="Arial" w:hAnsi="Arial" w:cs="Arial"/>
                                <w:spacing w:val="-6"/>
                                <w:sz w:val="18"/>
                                <w:szCs w:val="18"/>
                              </w:rPr>
                              <w:t>Journal of Expertise</w:t>
                            </w:r>
                            <w:r w:rsidRPr="00556790">
                              <w:rPr>
                                <w:rFonts w:ascii="Arial" w:hAnsi="Arial" w:cs="Arial"/>
                                <w:spacing w:val="-6"/>
                                <w:sz w:val="18"/>
                                <w:szCs w:val="18"/>
                              </w:rPr>
                              <w:br/>
                              <w:t xml:space="preserve">2018. Vol. </w:t>
                            </w:r>
                            <w:r w:rsidR="00750971">
                              <w:rPr>
                                <w:rFonts w:ascii="Arial" w:hAnsi="Arial" w:cs="Arial"/>
                                <w:spacing w:val="-6"/>
                                <w:sz w:val="18"/>
                                <w:szCs w:val="18"/>
                              </w:rPr>
                              <w:t>1</w:t>
                            </w:r>
                            <w:r w:rsidRPr="00556790">
                              <w:rPr>
                                <w:rFonts w:ascii="Arial" w:hAnsi="Arial" w:cs="Arial"/>
                                <w:spacing w:val="-6"/>
                                <w:sz w:val="18"/>
                                <w:szCs w:val="18"/>
                              </w:rPr>
                              <w:t>(</w:t>
                            </w:r>
                            <w:r w:rsidR="00750971">
                              <w:rPr>
                                <w:rFonts w:ascii="Arial" w:hAnsi="Arial" w:cs="Arial"/>
                                <w:spacing w:val="-6"/>
                                <w:sz w:val="18"/>
                                <w:szCs w:val="18"/>
                              </w:rPr>
                              <w:t>2</w:t>
                            </w:r>
                            <w:r w:rsidRPr="00556790">
                              <w:rPr>
                                <w:rFonts w:ascii="Arial" w:hAnsi="Arial" w:cs="Arial"/>
                                <w:spacing w:val="-6"/>
                                <w:sz w:val="18"/>
                                <w:szCs w:val="18"/>
                              </w:rPr>
                              <w:t>)</w:t>
                            </w:r>
                            <w:r w:rsidRPr="00556790">
                              <w:rPr>
                                <w:rFonts w:ascii="Arial" w:hAnsi="Arial" w:cs="Arial"/>
                                <w:spacing w:val="-6"/>
                                <w:sz w:val="18"/>
                                <w:szCs w:val="18"/>
                              </w:rPr>
                              <w:br/>
                              <w:t xml:space="preserve">© 2018. The authors license this article under the terms of the Creative Commons Attribution 3.0 License. </w:t>
                            </w:r>
                          </w:p>
                          <w:p w14:paraId="16769DE8" w14:textId="77777777" w:rsidR="00634930" w:rsidRPr="00556790" w:rsidRDefault="00634930" w:rsidP="00556790">
                            <w:pPr>
                              <w:pStyle w:val="Header"/>
                              <w:rPr>
                                <w:rFonts w:ascii="Arial" w:hAnsi="Arial" w:cs="Arial"/>
                                <w:i/>
                                <w:spacing w:val="-6"/>
                                <w:sz w:val="18"/>
                                <w:szCs w:val="18"/>
                              </w:rPr>
                            </w:pPr>
                            <w:r w:rsidRPr="00556790">
                              <w:rPr>
                                <w:rFonts w:ascii="Arial" w:hAnsi="Arial" w:cs="Arial"/>
                                <w:spacing w:val="-6"/>
                                <w:sz w:val="18"/>
                                <w:szCs w:val="18"/>
                              </w:rPr>
                              <w:t>ISSN 2573-2773</w:t>
                            </w:r>
                          </w:p>
                          <w:p w14:paraId="3E51700F" w14:textId="15E54751" w:rsidR="00634930" w:rsidRPr="00392ECE" w:rsidRDefault="00634930" w:rsidP="0067255D">
                            <w:pPr>
                              <w:pStyle w:val="Header"/>
                              <w:rPr>
                                <w:rFonts w:ascii="Arial" w:hAnsi="Arial" w:cs="Arial"/>
                                <w:i/>
                                <w:sz w:val="18"/>
                                <w:szCs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BCF26E" id="_x0000_t202" coordsize="21600,21600" o:spt="202" path="m,l,21600r21600,l21600,xe">
                <v:stroke joinstyle="miter"/>
                <v:path gradientshapeok="t" o:connecttype="rect"/>
              </v:shapetype>
              <v:shape id="Text Box 2" o:spid="_x0000_s1026" type="#_x0000_t202" style="position:absolute;margin-left:408.75pt;margin-top:116.25pt;width:100.5pt;height:110.6pt;z-index:-2516500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" o:allowoverlap="f" stroked="f">
                <v:textbox style="mso-fit-shape-to-text:t">
                  <w:txbxContent>
                    <w:p w14:paraId="17EDBCF4" w14:textId="1667F3C5" w:rsidR="00634930" w:rsidRPr="00556790" w:rsidRDefault="00634930" w:rsidP="00556790">
                      <w:pPr>
                        <w:pStyle w:val="Header"/>
                        <w:rPr>
                          <w:rFonts w:ascii="Arial" w:hAnsi="Arial" w:cs="Arial"/>
                          <w:spacing w:val="-6"/>
                          <w:sz w:val="18"/>
                          <w:szCs w:val="18"/>
                        </w:rPr>
                      </w:pPr>
                      <w:r w:rsidRPr="00556790">
                        <w:rPr>
                          <w:rFonts w:ascii="Arial" w:hAnsi="Arial" w:cs="Arial"/>
                          <w:spacing w:val="-6"/>
                          <w:sz w:val="18"/>
                          <w:szCs w:val="18"/>
                        </w:rPr>
                        <w:t>Journal of Expertise</w:t>
                      </w:r>
                      <w:r w:rsidRPr="00556790">
                        <w:rPr>
                          <w:rFonts w:ascii="Arial" w:hAnsi="Arial" w:cs="Arial"/>
                          <w:spacing w:val="-6"/>
                          <w:sz w:val="18"/>
                          <w:szCs w:val="18"/>
                        </w:rPr>
                        <w:br/>
                        <w:t xml:space="preserve">2018. Vol. </w:t>
                      </w:r>
                      <w:r w:rsidR="00750971">
                        <w:rPr>
                          <w:rFonts w:ascii="Arial" w:hAnsi="Arial" w:cs="Arial"/>
                          <w:spacing w:val="-6"/>
                          <w:sz w:val="18"/>
                          <w:szCs w:val="18"/>
                        </w:rPr>
                        <w:t>1</w:t>
                      </w:r>
                      <w:r w:rsidRPr="00556790">
                        <w:rPr>
                          <w:rFonts w:ascii="Arial" w:hAnsi="Arial" w:cs="Arial"/>
                          <w:spacing w:val="-6"/>
                          <w:sz w:val="18"/>
                          <w:szCs w:val="18"/>
                        </w:rPr>
                        <w:t>(</w:t>
                      </w:r>
                      <w:r w:rsidR="00750971">
                        <w:rPr>
                          <w:rFonts w:ascii="Arial" w:hAnsi="Arial" w:cs="Arial"/>
                          <w:spacing w:val="-6"/>
                          <w:sz w:val="18"/>
                          <w:szCs w:val="18"/>
                        </w:rPr>
                        <w:t>2</w:t>
                      </w:r>
                      <w:r w:rsidRPr="00556790">
                        <w:rPr>
                          <w:rFonts w:ascii="Arial" w:hAnsi="Arial" w:cs="Arial"/>
                          <w:spacing w:val="-6"/>
                          <w:sz w:val="18"/>
                          <w:szCs w:val="18"/>
                        </w:rPr>
                        <w:t>)</w:t>
                      </w:r>
                      <w:r w:rsidRPr="00556790">
                        <w:rPr>
                          <w:rFonts w:ascii="Arial" w:hAnsi="Arial" w:cs="Arial"/>
                          <w:spacing w:val="-6"/>
                          <w:sz w:val="18"/>
                          <w:szCs w:val="18"/>
                        </w:rPr>
                        <w:br/>
                        <w:t xml:space="preserve">© 2018. The authors license this article under the terms of the Creative Commons Attribution 3.0 License. </w:t>
                      </w:r>
                    </w:p>
                    <w:p w14:paraId="16769DE8" w14:textId="77777777" w:rsidR="00634930" w:rsidRPr="00556790" w:rsidRDefault="00634930" w:rsidP="00556790">
                      <w:pPr>
                        <w:pStyle w:val="Header"/>
                        <w:rPr>
                          <w:rFonts w:ascii="Arial" w:hAnsi="Arial" w:cs="Arial"/>
                          <w:i/>
                          <w:spacing w:val="-6"/>
                          <w:sz w:val="18"/>
                          <w:szCs w:val="18"/>
                        </w:rPr>
                      </w:pPr>
                      <w:r w:rsidRPr="00556790">
                        <w:rPr>
                          <w:rFonts w:ascii="Arial" w:hAnsi="Arial" w:cs="Arial"/>
                          <w:spacing w:val="-6"/>
                          <w:sz w:val="18"/>
                          <w:szCs w:val="18"/>
                        </w:rPr>
                        <w:t>ISSN 2573-2773</w:t>
                      </w:r>
                    </w:p>
                    <w:p w14:paraId="3E51700F" w14:textId="15E54751" w:rsidR="00634930" w:rsidRPr="00392ECE" w:rsidRDefault="00634930" w:rsidP="0067255D">
                      <w:pPr>
                        <w:pStyle w:val="Header"/>
                        <w:rPr>
                          <w:rFonts w:ascii="Arial" w:hAnsi="Arial" w:cs="Arial"/>
                          <w:i/>
                          <w:sz w:val="18"/>
                          <w:szCs w:val="18"/>
                        </w:rPr>
                      </w:pPr>
                    </w:p>
                  </w:txbxContent>
                </v:textbox>
                <w10:wrap type="tight" anchory="page"/>
              </v:shape>
            </w:pict>
          </mc:Fallback>
        </mc:AlternateContent>
      </w:r>
      <w:r w:rsidR="00CD2D5A">
        <w:rPr>
          <w:rFonts w:ascii="Arial" w:eastAsia="Times New Roman" w:hAnsi="Arial" w:cs="Arial"/>
          <w:b/>
          <w:color w:val="auto"/>
          <w:sz w:val="36"/>
          <w:szCs w:val="36"/>
        </w:rPr>
        <w:t xml:space="preserve">The </w:t>
      </w:r>
      <w:r w:rsidR="003859E8">
        <w:rPr>
          <w:rFonts w:ascii="Arial" w:eastAsia="Times New Roman" w:hAnsi="Arial" w:cs="Arial"/>
          <w:b/>
          <w:color w:val="auto"/>
          <w:sz w:val="36"/>
          <w:szCs w:val="36"/>
        </w:rPr>
        <w:t>Future of Expertise: The Need for a Multidisciplinary Approach</w:t>
      </w:r>
    </w:p>
    <w:p w14:paraId="17240A01" w14:textId="027494AC" w:rsidR="00F97C6A" w:rsidRPr="00D4688F" w:rsidRDefault="003859E8" w:rsidP="00DB2F02">
      <w:pPr>
        <w:pStyle w:val="HTMLPreformatted"/>
        <w:shd w:val="clear" w:color="auto" w:fill="FFFFFF"/>
        <w:rPr>
          <w:rFonts w:ascii="Arial" w:hAnsi="Arial" w:cs="Arial"/>
        </w:rPr>
      </w:pPr>
      <w:r>
        <w:rPr>
          <w:rFonts w:ascii="Arial" w:hAnsi="Arial" w:cs="Arial"/>
          <w:sz w:val="24"/>
          <w:szCs w:val="24"/>
        </w:rPr>
        <w:t xml:space="preserve">Fernand </w:t>
      </w:r>
      <w:proofErr w:type="spellStart"/>
      <w:r>
        <w:rPr>
          <w:rFonts w:ascii="Arial" w:hAnsi="Arial" w:cs="Arial"/>
          <w:sz w:val="24"/>
          <w:szCs w:val="24"/>
        </w:rPr>
        <w:t>Gobet</w:t>
      </w:r>
      <w:proofErr w:type="spellEnd"/>
      <w:r w:rsidR="00CD2D5A">
        <w:rPr>
          <w:rStyle w:val="m2136854036645320387gmail-il"/>
          <w:rFonts w:ascii="Arial" w:hAnsi="Arial" w:cs="Arial"/>
          <w:sz w:val="24"/>
          <w:szCs w:val="24"/>
        </w:rPr>
        <w:t xml:space="preserve"> </w:t>
      </w:r>
      <w:r w:rsidR="00F97C6A" w:rsidRPr="00DB2F02">
        <w:rPr>
          <w:rFonts w:ascii="Arial" w:hAnsi="Arial" w:cs="Arial"/>
          <w:b/>
          <w:sz w:val="24"/>
          <w:szCs w:val="24"/>
        </w:rPr>
        <w:br/>
      </w:r>
      <w:r w:rsidR="009D2ABA">
        <w:rPr>
          <w:rFonts w:ascii="Times New Roman" w:hAnsi="Times New Roman" w:cs="Times New Roman"/>
        </w:rPr>
        <w:t xml:space="preserve">Department of Psychological Sciences, </w:t>
      </w:r>
      <w:bookmarkStart w:id="0" w:name="_GoBack"/>
      <w:bookmarkEnd w:id="0"/>
      <w:r w:rsidR="00CD2D5A">
        <w:rPr>
          <w:rFonts w:ascii="Times New Roman" w:hAnsi="Times New Roman" w:cs="Times New Roman"/>
        </w:rPr>
        <w:t xml:space="preserve">University of </w:t>
      </w:r>
      <w:r>
        <w:rPr>
          <w:rFonts w:ascii="Times New Roman" w:hAnsi="Times New Roman" w:cs="Times New Roman"/>
        </w:rPr>
        <w:t>Liverpool</w:t>
      </w:r>
      <w:r w:rsidR="00634930">
        <w:rPr>
          <w:rFonts w:ascii="Times New Roman" w:hAnsi="Times New Roman" w:cs="Times New Roman"/>
        </w:rPr>
        <w:t xml:space="preserve"> </w:t>
      </w:r>
      <w:r w:rsidR="00CD2D5A">
        <w:rPr>
          <w:rFonts w:ascii="Times New Roman" w:hAnsi="Times New Roman" w:cs="Times New Roman"/>
        </w:rPr>
        <w:t xml:space="preserve"> </w:t>
      </w:r>
    </w:p>
    <w:p w14:paraId="5CA084AE" w14:textId="5E1ACE94" w:rsidR="00F97C6A" w:rsidRPr="00B660B9" w:rsidRDefault="00DB2F02" w:rsidP="003859E8">
      <w:pPr>
        <w:rPr>
          <w:rFonts w:ascii="Arial" w:eastAsia="Times New Roman" w:hAnsi="Arial" w:cs="Arial"/>
          <w:sz w:val="20"/>
          <w:szCs w:val="20"/>
          <w:lang w:val="en-GB"/>
        </w:rPr>
      </w:pPr>
      <w:r>
        <w:rPr>
          <w:rStyle w:val="m2136854036645320387gmail-il"/>
          <w:rFonts w:ascii="Arial" w:hAnsi="Arial" w:cs="Arial"/>
          <w:sz w:val="24"/>
          <w:szCs w:val="24"/>
          <w:vertAlign w:val="superscript"/>
        </w:rPr>
        <w:br/>
      </w:r>
      <w:r w:rsidR="0051285C" w:rsidRPr="00B660B9">
        <w:rPr>
          <w:rFonts w:ascii="Arial" w:hAnsi="Arial" w:cs="Arial"/>
          <w:sz w:val="20"/>
          <w:szCs w:val="20"/>
        </w:rPr>
        <w:t>C</w:t>
      </w:r>
      <w:r w:rsidR="006352CD" w:rsidRPr="00B660B9">
        <w:rPr>
          <w:rFonts w:ascii="Arial" w:hAnsi="Arial" w:cs="Arial"/>
          <w:sz w:val="20"/>
          <w:szCs w:val="20"/>
        </w:rPr>
        <w:t xml:space="preserve">orrespondence: </w:t>
      </w:r>
      <w:r w:rsidR="003859E8" w:rsidRPr="00B660B9">
        <w:rPr>
          <w:rFonts w:ascii="Arial" w:hAnsi="Arial" w:cs="Arial"/>
          <w:sz w:val="20"/>
          <w:szCs w:val="20"/>
        </w:rPr>
        <w:t xml:space="preserve">Fernand </w:t>
      </w:r>
      <w:proofErr w:type="spellStart"/>
      <w:r w:rsidR="003859E8" w:rsidRPr="00B660B9">
        <w:rPr>
          <w:rFonts w:ascii="Arial" w:hAnsi="Arial" w:cs="Arial"/>
          <w:sz w:val="20"/>
          <w:szCs w:val="20"/>
        </w:rPr>
        <w:t>Gobet</w:t>
      </w:r>
      <w:proofErr w:type="spellEnd"/>
      <w:r w:rsidR="00CD2D5A" w:rsidRPr="00B660B9">
        <w:rPr>
          <w:rFonts w:ascii="Arial" w:hAnsi="Arial" w:cs="Arial"/>
          <w:sz w:val="20"/>
          <w:szCs w:val="20"/>
        </w:rPr>
        <w:t xml:space="preserve">, </w:t>
      </w:r>
      <w:r w:rsidR="003859E8" w:rsidRPr="00B660B9">
        <w:rPr>
          <w:rFonts w:ascii="Arial" w:eastAsia="Times New Roman" w:hAnsi="Arial" w:cs="Arial"/>
          <w:sz w:val="20"/>
          <w:szCs w:val="20"/>
          <w:lang w:val="en-GB"/>
        </w:rPr>
        <w:t>fernand.gobet@liverpool.ac.uk</w:t>
      </w:r>
    </w:p>
    <w:p w14:paraId="150EE985" w14:textId="6B15C458" w:rsidR="00F97C6A" w:rsidRPr="00DB2F02" w:rsidRDefault="00F97C6A" w:rsidP="00DB2F02">
      <w:pPr>
        <w:shd w:val="clear" w:color="auto" w:fill="FFFFFF"/>
        <w:rPr>
          <w:rFonts w:ascii="Arial" w:hAnsi="Arial" w:cs="Arial"/>
          <w:color w:val="auto"/>
          <w:sz w:val="20"/>
          <w:szCs w:val="20"/>
        </w:rPr>
      </w:pPr>
    </w:p>
    <w:p w14:paraId="56DA85A7" w14:textId="77777777" w:rsidR="00FB10F7" w:rsidRPr="00DB2F02" w:rsidRDefault="00FB10F7" w:rsidP="00DB2F02">
      <w:pPr>
        <w:spacing w:line="240" w:lineRule="auto"/>
        <w:rPr>
          <w:rFonts w:ascii="Arial" w:eastAsia="Times New Roman" w:hAnsi="Arial" w:cs="Arial"/>
          <w:b/>
          <w:color w:val="auto"/>
          <w:sz w:val="20"/>
          <w:szCs w:val="20"/>
        </w:rPr>
        <w:sectPr w:rsidR="00FB10F7" w:rsidRPr="00DB2F02" w:rsidSect="00D84606">
          <w:headerReference w:type="even" r:id="rId9"/>
          <w:headerReference w:type="default" r:id="rId10"/>
          <w:footerReference w:type="even" r:id="rId11"/>
          <w:footerReference w:type="default" r:id="rId12"/>
          <w:headerReference w:type="first" r:id="rId13"/>
          <w:footerReference w:type="first" r:id="rId14"/>
          <w:pgSz w:w="12240" w:h="15840" w:code="1"/>
          <w:pgMar w:top="1080" w:right="1080" w:bottom="1080" w:left="1080" w:header="0" w:footer="331" w:gutter="0"/>
          <w:pgNumType w:start="107"/>
          <w:cols w:space="720"/>
          <w:titlePg/>
          <w:docGrid w:linePitch="299"/>
        </w:sectPr>
      </w:pPr>
    </w:p>
    <w:p w14:paraId="27B20711" w14:textId="2AD4DAAE" w:rsidR="00096104" w:rsidRPr="003859E8" w:rsidRDefault="00A7737A" w:rsidP="003859E8">
      <w:pPr>
        <w:spacing w:after="0" w:line="240" w:lineRule="auto"/>
        <w:rPr>
          <w:rFonts w:ascii="Times New Roman" w:hAnsi="Times New Roman" w:cs="Times New Roman"/>
          <w:lang w:val="en-GB"/>
        </w:rPr>
      </w:pPr>
      <w:bookmarkStart w:id="1" w:name="_Hlk506980103"/>
      <w:r w:rsidRPr="00A7737A">
        <w:rPr>
          <w:rFonts w:ascii="Arial" w:eastAsia="Times New Roman" w:hAnsi="Arial" w:cs="Arial"/>
          <w:b/>
          <w:color w:val="auto"/>
          <w:spacing w:val="-10"/>
        </w:rPr>
        <w:t>Abstract</w:t>
      </w:r>
      <w:r w:rsidR="007C250B">
        <w:rPr>
          <w:rFonts w:ascii="Arial" w:eastAsia="Times New Roman" w:hAnsi="Arial" w:cs="Arial"/>
          <w:b/>
          <w:color w:val="auto"/>
          <w:spacing w:val="-10"/>
        </w:rPr>
        <w:br/>
      </w:r>
      <w:bookmarkStart w:id="2" w:name="_gjdgxs" w:colFirst="0" w:colLast="0"/>
      <w:bookmarkEnd w:id="2"/>
      <w:r w:rsidR="003859E8" w:rsidRPr="003859E8">
        <w:rPr>
          <w:rFonts w:ascii="Times New Roman" w:hAnsi="Times New Roman" w:cs="Times New Roman"/>
          <w:lang w:val="en-GB"/>
        </w:rPr>
        <w:t xml:space="preserve">Much progress has been made in cognitive psychology and neuroscience in understanding the mechanisms underpinning expert </w:t>
      </w:r>
      <w:proofErr w:type="spellStart"/>
      <w:r w:rsidR="003859E8" w:rsidRPr="003859E8">
        <w:rPr>
          <w:rFonts w:ascii="Times New Roman" w:hAnsi="Times New Roman" w:cs="Times New Roman"/>
          <w:lang w:val="en-GB"/>
        </w:rPr>
        <w:t>behavior</w:t>
      </w:r>
      <w:proofErr w:type="spellEnd"/>
      <w:r w:rsidR="003859E8" w:rsidRPr="003859E8">
        <w:rPr>
          <w:rFonts w:ascii="Times New Roman" w:hAnsi="Times New Roman" w:cs="Times New Roman"/>
          <w:lang w:val="en-GB"/>
        </w:rPr>
        <w:t>.</w:t>
      </w:r>
      <w:r w:rsidR="003859E8">
        <w:rPr>
          <w:rFonts w:ascii="Times New Roman" w:hAnsi="Times New Roman" w:cs="Times New Roman"/>
          <w:lang w:val="en-GB"/>
        </w:rPr>
        <w:t xml:space="preserve"> </w:t>
      </w:r>
      <w:r w:rsidR="003859E8" w:rsidRPr="003859E8">
        <w:rPr>
          <w:rFonts w:ascii="Times New Roman" w:hAnsi="Times New Roman" w:cs="Times New Roman"/>
          <w:lang w:val="en-GB"/>
        </w:rPr>
        <w:t>Concurrently, expertise has been extensively studied in several other disciplines</w:t>
      </w:r>
      <w:r w:rsidR="003859E8">
        <w:rPr>
          <w:rFonts w:ascii="Times New Roman" w:hAnsi="Times New Roman" w:cs="Times New Roman"/>
          <w:lang w:val="en-GB"/>
        </w:rPr>
        <w:t>;</w:t>
      </w:r>
      <w:r w:rsidR="003859E8" w:rsidRPr="003859E8">
        <w:rPr>
          <w:rFonts w:ascii="Times New Roman" w:hAnsi="Times New Roman" w:cs="Times New Roman"/>
          <w:lang w:val="en-GB"/>
        </w:rPr>
        <w:t xml:space="preserve"> </w:t>
      </w:r>
      <w:proofErr w:type="gramStart"/>
      <w:r w:rsidR="003859E8" w:rsidRPr="003859E8">
        <w:rPr>
          <w:rFonts w:ascii="Times New Roman" w:hAnsi="Times New Roman" w:cs="Times New Roman"/>
          <w:lang w:val="en-GB"/>
        </w:rPr>
        <w:t>in</w:t>
      </w:r>
      <w:r w:rsidR="003859E8">
        <w:rPr>
          <w:rFonts w:ascii="Times New Roman" w:hAnsi="Times New Roman" w:cs="Times New Roman"/>
          <w:lang w:val="en-GB"/>
        </w:rPr>
        <w:t xml:space="preserve"> </w:t>
      </w:r>
      <w:r w:rsidR="003859E8" w:rsidRPr="003859E8">
        <w:rPr>
          <w:rFonts w:ascii="Times New Roman" w:hAnsi="Times New Roman" w:cs="Times New Roman"/>
          <w:lang w:val="en-GB"/>
        </w:rPr>
        <w:t>particular</w:t>
      </w:r>
      <w:r w:rsidR="003859E8">
        <w:rPr>
          <w:rFonts w:ascii="Times New Roman" w:hAnsi="Times New Roman" w:cs="Times New Roman"/>
          <w:lang w:val="en-GB"/>
        </w:rPr>
        <w:t>,</w:t>
      </w:r>
      <w:r w:rsidR="003859E8" w:rsidRPr="003859E8">
        <w:rPr>
          <w:rFonts w:ascii="Times New Roman" w:hAnsi="Times New Roman" w:cs="Times New Roman"/>
          <w:lang w:val="en-GB"/>
        </w:rPr>
        <w:t xml:space="preserve"> sociology</w:t>
      </w:r>
      <w:proofErr w:type="gramEnd"/>
      <w:r w:rsidR="003859E8" w:rsidRPr="003859E8">
        <w:rPr>
          <w:rFonts w:ascii="Times New Roman" w:hAnsi="Times New Roman" w:cs="Times New Roman"/>
          <w:lang w:val="en-GB"/>
        </w:rPr>
        <w:t>, philosophy</w:t>
      </w:r>
      <w:r w:rsidR="003859E8">
        <w:rPr>
          <w:rFonts w:ascii="Times New Roman" w:hAnsi="Times New Roman" w:cs="Times New Roman"/>
          <w:lang w:val="en-GB"/>
        </w:rPr>
        <w:t>,</w:t>
      </w:r>
      <w:r w:rsidR="003859E8" w:rsidRPr="003859E8">
        <w:rPr>
          <w:rFonts w:ascii="Times New Roman" w:hAnsi="Times New Roman" w:cs="Times New Roman"/>
          <w:lang w:val="en-GB"/>
        </w:rPr>
        <w:t xml:space="preserve"> and artificial intelligence. However, there has been relatively little communication between these disciplines. This is regrettable, as many contradictions between the disciplines have been ignored and many opportunities for cross-fertili</w:t>
      </w:r>
      <w:r w:rsidR="003859E8">
        <w:rPr>
          <w:rFonts w:ascii="Times New Roman" w:hAnsi="Times New Roman" w:cs="Times New Roman"/>
          <w:lang w:val="en-GB"/>
        </w:rPr>
        <w:t>z</w:t>
      </w:r>
      <w:r w:rsidR="003859E8" w:rsidRPr="003859E8">
        <w:rPr>
          <w:rFonts w:ascii="Times New Roman" w:hAnsi="Times New Roman" w:cs="Times New Roman"/>
          <w:lang w:val="en-GB"/>
        </w:rPr>
        <w:t>ation missed. For example, psychology has focused on performance-based expertise and emphasi</w:t>
      </w:r>
      <w:r w:rsidR="003859E8">
        <w:rPr>
          <w:rFonts w:ascii="Times New Roman" w:hAnsi="Times New Roman" w:cs="Times New Roman"/>
          <w:lang w:val="en-GB"/>
        </w:rPr>
        <w:t>z</w:t>
      </w:r>
      <w:r w:rsidR="003859E8" w:rsidRPr="003859E8">
        <w:rPr>
          <w:rFonts w:ascii="Times New Roman" w:hAnsi="Times New Roman" w:cs="Times New Roman"/>
          <w:lang w:val="en-GB"/>
        </w:rPr>
        <w:t>ed the remarkable feats displayed by experts, while sociology has directed its attention to the shortcomings of reputation-based experts. It is proposed that unifying forces between disciplines is the way forward for making progress in our understanding of expertise.</w:t>
      </w:r>
    </w:p>
    <w:p w14:paraId="284EFEB4" w14:textId="5C64F258" w:rsidR="006352CD" w:rsidRPr="007C250B" w:rsidRDefault="006352CD" w:rsidP="007C250B">
      <w:pPr>
        <w:spacing w:after="120" w:line="280" w:lineRule="exact"/>
        <w:rPr>
          <w:rFonts w:ascii="Arial" w:eastAsia="Times New Roman" w:hAnsi="Arial" w:cs="Arial"/>
          <w:b/>
          <w:color w:val="auto"/>
          <w:spacing w:val="-10"/>
        </w:rPr>
      </w:pPr>
    </w:p>
    <w:bookmarkEnd w:id="1"/>
    <w:p w14:paraId="283B4F10" w14:textId="659351B2" w:rsidR="00823ECF" w:rsidRDefault="009536C1" w:rsidP="00D3606E">
      <w:pPr>
        <w:spacing w:after="120" w:line="240" w:lineRule="auto"/>
        <w:rPr>
          <w:rFonts w:ascii="Times New Roman" w:eastAsia="Times New Roman" w:hAnsi="Times New Roman" w:cs="Times New Roman"/>
          <w:color w:val="auto"/>
        </w:rPr>
        <w:sectPr w:rsidR="00823ECF" w:rsidSect="00366397">
          <w:type w:val="continuous"/>
          <w:pgSz w:w="12240" w:h="15840" w:code="1"/>
          <w:pgMar w:top="1080" w:right="1080" w:bottom="1080" w:left="1080" w:header="0" w:footer="360" w:gutter="0"/>
          <w:pgNumType w:start="1"/>
          <w:cols w:space="720"/>
          <w:docGrid w:linePitch="299"/>
        </w:sectPr>
      </w:pPr>
      <w:r w:rsidRPr="007C250B">
        <w:rPr>
          <w:rFonts w:ascii="Arial" w:eastAsia="Times New Roman" w:hAnsi="Arial" w:cs="Arial"/>
          <w:b/>
          <w:color w:val="auto"/>
        </w:rPr>
        <w:t>Keywords</w:t>
      </w:r>
      <w:bookmarkStart w:id="3" w:name="_Hlk506980130"/>
      <w:r w:rsidR="00A7737A">
        <w:rPr>
          <w:rFonts w:ascii="Times New Roman" w:eastAsia="Times New Roman" w:hAnsi="Times New Roman" w:cs="Times New Roman"/>
          <w:b/>
          <w:color w:val="auto"/>
        </w:rPr>
        <w:br/>
      </w:r>
      <w:bookmarkEnd w:id="3"/>
      <w:r w:rsidR="003859E8" w:rsidRPr="003859E8">
        <w:rPr>
          <w:rFonts w:ascii="Times New Roman" w:eastAsia="Times New Roman" w:hAnsi="Times New Roman"/>
          <w:lang w:val="en-GB"/>
        </w:rPr>
        <w:t xml:space="preserve">expertise, computational </w:t>
      </w:r>
      <w:proofErr w:type="spellStart"/>
      <w:r w:rsidR="003859E8" w:rsidRPr="003859E8">
        <w:rPr>
          <w:rFonts w:ascii="Times New Roman" w:eastAsia="Times New Roman" w:hAnsi="Times New Roman"/>
          <w:lang w:val="en-GB"/>
        </w:rPr>
        <w:t>modeling</w:t>
      </w:r>
      <w:proofErr w:type="spellEnd"/>
      <w:r w:rsidR="003859E8" w:rsidRPr="003859E8">
        <w:rPr>
          <w:rFonts w:ascii="Times New Roman" w:eastAsia="Times New Roman" w:hAnsi="Times New Roman"/>
          <w:lang w:val="en-GB"/>
        </w:rPr>
        <w:t>, deliberate practice, multidisciplinary research, talent, theory development</w:t>
      </w:r>
    </w:p>
    <w:p w14:paraId="4F6E6E2B" w14:textId="5EFE41AC" w:rsidR="00823ECF" w:rsidRDefault="00823ECF" w:rsidP="00096104">
      <w:pPr>
        <w:spacing w:after="120" w:line="240" w:lineRule="auto"/>
        <w:rPr>
          <w:sz w:val="24"/>
          <w:szCs w:val="24"/>
        </w:rPr>
      </w:pPr>
      <w:bookmarkStart w:id="4" w:name="_Hlk506980810"/>
    </w:p>
    <w:p w14:paraId="5B2A3C46" w14:textId="6FFA97B5" w:rsidR="001B7841" w:rsidRPr="001B7841" w:rsidRDefault="00942255" w:rsidP="00096104">
      <w:pPr>
        <w:spacing w:after="120" w:line="240" w:lineRule="auto"/>
        <w:rPr>
          <w:rFonts w:ascii="Arial" w:hAnsi="Arial" w:cs="Arial"/>
          <w:b/>
          <w:sz w:val="24"/>
          <w:szCs w:val="24"/>
        </w:rPr>
      </w:pPr>
      <w:r>
        <w:rPr>
          <w:rFonts w:ascii="Arial" w:hAnsi="Arial" w:cs="Arial"/>
          <w:b/>
          <w:sz w:val="24"/>
          <w:szCs w:val="24"/>
        </w:rPr>
        <w:t>Introduction</w:t>
      </w:r>
    </w:p>
    <w:bookmarkEnd w:id="4"/>
    <w:p w14:paraId="1CF276B4" w14:textId="1F3AF06B" w:rsidR="00942255" w:rsidRPr="00942255" w:rsidRDefault="00942255" w:rsidP="00942255">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eastAsia="Times New Roman" w:hAnsi="Times New Roman"/>
          <w:sz w:val="24"/>
          <w:lang w:val="en-GB"/>
        </w:rPr>
      </w:pPr>
      <w:r w:rsidRPr="00942255">
        <w:rPr>
          <w:rFonts w:ascii="Times New Roman" w:eastAsia="Times New Roman" w:hAnsi="Times New Roman"/>
          <w:sz w:val="24"/>
          <w:lang w:val="en-GB"/>
        </w:rPr>
        <w:t xml:space="preserve">Experts fascinate. Long anticipating the positive psychology movement </w:t>
      </w:r>
      <w:r w:rsidRPr="00942255">
        <w:rPr>
          <w:rFonts w:ascii="Times New Roman" w:eastAsia="Times New Roman" w:hAnsi="Times New Roman"/>
          <w:noProof/>
          <w:sz w:val="24"/>
          <w:lang w:val="en-GB"/>
        </w:rPr>
        <w:t>(e.g.</w:t>
      </w:r>
      <w:r w:rsidR="00476035">
        <w:rPr>
          <w:rFonts w:ascii="Times New Roman" w:eastAsia="Times New Roman" w:hAnsi="Times New Roman"/>
          <w:noProof/>
          <w:sz w:val="24"/>
          <w:lang w:val="en-GB"/>
        </w:rPr>
        <w:t>,</w:t>
      </w:r>
      <w:r w:rsidRPr="00942255">
        <w:rPr>
          <w:rFonts w:ascii="Times New Roman" w:eastAsia="Times New Roman" w:hAnsi="Times New Roman"/>
          <w:noProof/>
          <w:sz w:val="24"/>
          <w:lang w:val="en-GB"/>
        </w:rPr>
        <w:t xml:space="preserve"> Seligman &amp; Csikszentmihalyi, 2000)</w:t>
      </w:r>
      <w:r w:rsidRPr="00942255">
        <w:rPr>
          <w:rFonts w:ascii="Times New Roman" w:eastAsia="Times New Roman" w:hAnsi="Times New Roman"/>
          <w:sz w:val="24"/>
          <w:lang w:val="en-GB"/>
        </w:rPr>
        <w:t xml:space="preserve">, researchers have studied the amazing performances of athletes, scientists, and artists </w:t>
      </w:r>
      <w:proofErr w:type="gramStart"/>
      <w:r w:rsidRPr="00942255">
        <w:rPr>
          <w:rFonts w:ascii="Times New Roman" w:eastAsia="Times New Roman" w:hAnsi="Times New Roman"/>
          <w:sz w:val="24"/>
          <w:lang w:val="en-GB"/>
        </w:rPr>
        <w:t>as a way to</w:t>
      </w:r>
      <w:proofErr w:type="gramEnd"/>
      <w:r w:rsidRPr="00942255">
        <w:rPr>
          <w:rFonts w:ascii="Times New Roman" w:eastAsia="Times New Roman" w:hAnsi="Times New Roman"/>
          <w:sz w:val="24"/>
          <w:lang w:val="en-GB"/>
        </w:rPr>
        <w:t xml:space="preserve"> understand human psychology.  For example, as early as 1894, Binet studied mental calculators and chess players’ remarkable memory. This interest in understanding expertise is motivated by several reasons </w:t>
      </w:r>
      <w:r w:rsidRPr="00942255">
        <w:rPr>
          <w:rFonts w:ascii="Times New Roman" w:eastAsia="Times New Roman" w:hAnsi="Times New Roman"/>
          <w:noProof/>
          <w:sz w:val="24"/>
          <w:lang w:val="en-GB"/>
        </w:rPr>
        <w:t>(Gobet, 2016)</w:t>
      </w:r>
      <w:r w:rsidRPr="00942255">
        <w:rPr>
          <w:rFonts w:ascii="Times New Roman" w:eastAsia="Times New Roman" w:hAnsi="Times New Roman"/>
          <w:sz w:val="24"/>
          <w:lang w:val="en-GB"/>
        </w:rPr>
        <w:t>: to shed light on learning mechanisms; to develop better training methods for coaching experts and more efficient instructional methods in general for schools and the workplace; and to better understand human cognition. In this respect, research into expertise offers a mirror image to neuropsychology: while the latter studies impaired performance to understand normal cognition, the former examines superior performance.</w:t>
      </w:r>
    </w:p>
    <w:p w14:paraId="1CC086D3" w14:textId="4ABA8CDB" w:rsidR="00942255" w:rsidRPr="00942255" w:rsidRDefault="00942255" w:rsidP="00942255">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eastAsia="Times New Roman" w:hAnsi="Times New Roman"/>
          <w:sz w:val="24"/>
          <w:lang w:val="en-GB"/>
        </w:rPr>
      </w:pPr>
      <w:r>
        <w:rPr>
          <w:rFonts w:ascii="Times New Roman" w:eastAsia="Times New Roman" w:hAnsi="Times New Roman"/>
          <w:sz w:val="24"/>
          <w:lang w:val="en-GB"/>
        </w:rPr>
        <w:br/>
      </w:r>
      <w:r>
        <w:rPr>
          <w:rFonts w:ascii="Times New Roman" w:eastAsia="Times New Roman" w:hAnsi="Times New Roman"/>
          <w:sz w:val="24"/>
          <w:lang w:val="en-GB"/>
        </w:rPr>
        <w:br/>
      </w:r>
      <w:r>
        <w:rPr>
          <w:rFonts w:ascii="Times New Roman" w:eastAsia="Times New Roman" w:hAnsi="Times New Roman"/>
          <w:sz w:val="24"/>
          <w:lang w:val="en-GB"/>
        </w:rPr>
        <w:br/>
        <w:t xml:space="preserve">      </w:t>
      </w:r>
      <w:r w:rsidRPr="00942255">
        <w:rPr>
          <w:rFonts w:ascii="Times New Roman" w:eastAsia="Times New Roman" w:hAnsi="Times New Roman"/>
          <w:sz w:val="24"/>
          <w:lang w:val="en-GB"/>
        </w:rPr>
        <w:t xml:space="preserve">The last decades have seen a substantial amount of research devoted to the study of expertise, which has resulted in a massive literature. In recent years only, the field has witnessed the publication of two handbooks </w:t>
      </w:r>
      <w:r w:rsidRPr="00942255">
        <w:rPr>
          <w:rFonts w:ascii="Times New Roman" w:eastAsia="Times New Roman" w:hAnsi="Times New Roman"/>
          <w:noProof/>
          <w:sz w:val="24"/>
          <w:lang w:val="en-GB"/>
        </w:rPr>
        <w:t>(Ericsson, Hoffman, Kozbelt, &amp; Williams, 2018; Ward, Schraagen, Gore, &amp; Roth, in press)</w:t>
      </w:r>
      <w:r w:rsidRPr="00942255">
        <w:rPr>
          <w:rFonts w:ascii="Times New Roman" w:eastAsia="Times New Roman" w:hAnsi="Times New Roman"/>
          <w:sz w:val="24"/>
          <w:lang w:val="en-GB"/>
        </w:rPr>
        <w:t xml:space="preserve">, two textbooks </w:t>
      </w:r>
      <w:r w:rsidRPr="00942255">
        <w:rPr>
          <w:rFonts w:ascii="Times New Roman" w:eastAsia="Times New Roman" w:hAnsi="Times New Roman"/>
          <w:noProof/>
          <w:sz w:val="24"/>
          <w:lang w:val="en-GB"/>
        </w:rPr>
        <w:t>(Gobet, 2011, 2016)</w:t>
      </w:r>
      <w:r w:rsidRPr="00942255">
        <w:rPr>
          <w:rFonts w:ascii="Times New Roman" w:eastAsia="Times New Roman" w:hAnsi="Times New Roman"/>
          <w:sz w:val="24"/>
          <w:lang w:val="en-GB"/>
        </w:rPr>
        <w:t xml:space="preserve">, several edited books </w:t>
      </w:r>
      <w:r w:rsidRPr="00942255">
        <w:rPr>
          <w:rFonts w:ascii="Times New Roman" w:eastAsia="Times New Roman" w:hAnsi="Times New Roman"/>
          <w:noProof/>
          <w:sz w:val="24"/>
          <w:lang w:val="en-GB"/>
        </w:rPr>
        <w:t>(e.g., Hambrick, Campitelli, &amp; Macnamara, 2018; Staszewski, 2013)</w:t>
      </w:r>
      <w:r w:rsidRPr="00942255">
        <w:rPr>
          <w:rFonts w:ascii="Times New Roman" w:eastAsia="Times New Roman" w:hAnsi="Times New Roman"/>
          <w:sz w:val="24"/>
          <w:lang w:val="en-GB"/>
        </w:rPr>
        <w:t xml:space="preserve"> and several monographs </w:t>
      </w:r>
      <w:r w:rsidRPr="00942255">
        <w:rPr>
          <w:rFonts w:ascii="Times New Roman" w:eastAsia="Times New Roman" w:hAnsi="Times New Roman"/>
          <w:noProof/>
          <w:sz w:val="24"/>
          <w:lang w:val="en-GB"/>
        </w:rPr>
        <w:t>(e.g., Bilalić, 2017; Hoffman, LaDue, Mogil, Roebber, &amp; Trafton, 2017; Selinger, 2011)</w:t>
      </w:r>
      <w:r w:rsidRPr="00942255">
        <w:rPr>
          <w:rFonts w:ascii="Times New Roman" w:eastAsia="Times New Roman" w:hAnsi="Times New Roman"/>
          <w:sz w:val="24"/>
          <w:lang w:val="en-GB"/>
        </w:rPr>
        <w:t>.</w:t>
      </w:r>
    </w:p>
    <w:p w14:paraId="2100FF4E" w14:textId="77777777" w:rsidR="00942255" w:rsidRPr="00942255" w:rsidRDefault="00942255" w:rsidP="00942255">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eastAsia="Times New Roman" w:hAnsi="Times New Roman"/>
          <w:sz w:val="24"/>
          <w:lang w:val="en-GB"/>
        </w:rPr>
      </w:pPr>
      <w:r w:rsidRPr="00942255">
        <w:rPr>
          <w:rFonts w:ascii="Times New Roman" w:eastAsia="Times New Roman" w:hAnsi="Times New Roman"/>
          <w:sz w:val="24"/>
          <w:lang w:val="en-GB"/>
        </w:rPr>
        <w:t xml:space="preserve">Much is known about the psychological mechanisms underpinning expertise and several regularities have been identified in experts’ </w:t>
      </w:r>
      <w:proofErr w:type="spellStart"/>
      <w:r w:rsidRPr="00942255">
        <w:rPr>
          <w:rFonts w:ascii="Times New Roman" w:eastAsia="Times New Roman" w:hAnsi="Times New Roman"/>
          <w:sz w:val="24"/>
          <w:lang w:val="en-GB"/>
        </w:rPr>
        <w:t>behavior</w:t>
      </w:r>
      <w:proofErr w:type="spellEnd"/>
      <w:r w:rsidRPr="00942255">
        <w:rPr>
          <w:rFonts w:ascii="Times New Roman" w:eastAsia="Times New Roman" w:hAnsi="Times New Roman"/>
          <w:sz w:val="24"/>
          <w:lang w:val="en-GB"/>
        </w:rPr>
        <w:t xml:space="preserve"> across different domains. There is no space in this brief article for a full review, but a list would start with the role of perception, the omnipresence of chunking, the importance of </w:t>
      </w:r>
      <w:r w:rsidRPr="00942255">
        <w:rPr>
          <w:rFonts w:ascii="Times New Roman" w:eastAsia="Times New Roman" w:hAnsi="Times New Roman"/>
          <w:sz w:val="24"/>
          <w:lang w:val="en-GB"/>
        </w:rPr>
        <w:lastRenderedPageBreak/>
        <w:t xml:space="preserve">innate factors and practice, and the fact that experts are highly selective in their search </w:t>
      </w:r>
      <w:r w:rsidRPr="00942255">
        <w:rPr>
          <w:rFonts w:ascii="Times New Roman" w:eastAsia="Times New Roman" w:hAnsi="Times New Roman"/>
          <w:noProof/>
          <w:sz w:val="24"/>
          <w:lang w:val="en-GB"/>
        </w:rPr>
        <w:t>(see Gobet, 2016, for an extensive discussion)</w:t>
      </w:r>
      <w:r w:rsidRPr="00942255">
        <w:rPr>
          <w:rFonts w:ascii="Times New Roman" w:eastAsia="Times New Roman" w:hAnsi="Times New Roman"/>
          <w:sz w:val="24"/>
          <w:lang w:val="en-GB"/>
        </w:rPr>
        <w:t>. At the same time, there are still many gaps in our understanding of expertise. For example, little is known about the exact nature of the interaction between practice and talent and about the role of emotions in superior performance—with respect to how emotional states affect expert performance in general as well as to how specific kinds of expertise involving emotions, such as acting, are acquired.</w:t>
      </w:r>
    </w:p>
    <w:p w14:paraId="37C26525" w14:textId="3E4F2515" w:rsidR="00CD2D5A" w:rsidRPr="00CD2D5A" w:rsidRDefault="00942255" w:rsidP="00942255">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lang w:val="en-GB"/>
        </w:rPr>
      </w:pPr>
      <w:r w:rsidRPr="00942255">
        <w:rPr>
          <w:rFonts w:ascii="Times New Roman" w:eastAsia="Times New Roman" w:hAnsi="Times New Roman"/>
          <w:sz w:val="24"/>
          <w:lang w:val="en-GB"/>
        </w:rPr>
        <w:t xml:space="preserve">Many scientific disciplines have studied expertise, with a dizzying array of different methods. Psychology has tended to use hard-science methodologies such as </w:t>
      </w:r>
      <w:proofErr w:type="spellStart"/>
      <w:r w:rsidRPr="00942255">
        <w:rPr>
          <w:rFonts w:ascii="Times New Roman" w:eastAsia="Times New Roman" w:hAnsi="Times New Roman"/>
          <w:sz w:val="24"/>
          <w:lang w:val="en-GB"/>
        </w:rPr>
        <w:t>behavioral</w:t>
      </w:r>
      <w:proofErr w:type="spellEnd"/>
      <w:r w:rsidRPr="00942255">
        <w:rPr>
          <w:rFonts w:ascii="Times New Roman" w:eastAsia="Times New Roman" w:hAnsi="Times New Roman"/>
          <w:sz w:val="24"/>
          <w:lang w:val="en-GB"/>
        </w:rPr>
        <w:t xml:space="preserve"> experiments, eye-movement recordings, and computer </w:t>
      </w:r>
      <w:proofErr w:type="spellStart"/>
      <w:r w:rsidRPr="00942255">
        <w:rPr>
          <w:rFonts w:ascii="Times New Roman" w:eastAsia="Times New Roman" w:hAnsi="Times New Roman"/>
          <w:sz w:val="24"/>
          <w:lang w:val="en-GB"/>
        </w:rPr>
        <w:t>modeling</w:t>
      </w:r>
      <w:proofErr w:type="spellEnd"/>
      <w:r w:rsidRPr="00942255">
        <w:rPr>
          <w:rFonts w:ascii="Times New Roman" w:eastAsia="Times New Roman" w:hAnsi="Times New Roman"/>
          <w:sz w:val="24"/>
          <w:lang w:val="en-GB"/>
        </w:rPr>
        <w:t>, but has also collected “softer” data with questionnaires and interviews. Neuroscience has used a panoply of techniques including fMRI and EEG. Philosophy primarily uses introspection and critical analysis of classic texts. Sociology tends to employ descriptions and historical analyses. In artificial intelligence, the question of expertise has been important in the fields of expert systems and machine learning. Other scientific disciplines study expertise (e.g., anthropology, ethnography, and economics), but this brief discussion should suffice to illustrate the large variety of techniques used to study expertise.</w:t>
      </w:r>
    </w:p>
    <w:p w14:paraId="0EA5BEEF" w14:textId="137C597F" w:rsidR="001D7495" w:rsidRPr="001B7841" w:rsidRDefault="00096104" w:rsidP="001D7495">
      <w:pPr>
        <w:spacing w:after="120" w:line="240" w:lineRule="auto"/>
        <w:rPr>
          <w:rFonts w:ascii="Arial" w:hAnsi="Arial" w:cs="Arial"/>
          <w:b/>
          <w:sz w:val="24"/>
          <w:szCs w:val="24"/>
        </w:rPr>
      </w:pPr>
      <w:r>
        <w:rPr>
          <w:rFonts w:ascii="Arial" w:eastAsia="Times New Roman" w:hAnsi="Arial" w:cs="Arial"/>
          <w:b/>
          <w:color w:val="auto"/>
          <w:sz w:val="24"/>
          <w:szCs w:val="24"/>
        </w:rPr>
        <w:br/>
      </w:r>
      <w:r w:rsidR="001D7495">
        <w:rPr>
          <w:rFonts w:ascii="Arial" w:hAnsi="Arial" w:cs="Arial"/>
          <w:b/>
          <w:sz w:val="24"/>
          <w:szCs w:val="24"/>
        </w:rPr>
        <w:t>Definitions and Schools</w:t>
      </w:r>
    </w:p>
    <w:p w14:paraId="7B4348F0" w14:textId="77777777" w:rsidR="001D7495" w:rsidRPr="001D7495" w:rsidRDefault="001D7495" w:rsidP="001D7495">
      <w:pPr>
        <w:spacing w:after="0" w:line="240" w:lineRule="auto"/>
        <w:rPr>
          <w:rFonts w:ascii="Times New Roman" w:eastAsia="Times New Roman" w:hAnsi="Times New Roman"/>
          <w:sz w:val="24"/>
          <w:lang w:val="en-GB"/>
        </w:rPr>
      </w:pPr>
      <w:r w:rsidRPr="001D7495">
        <w:rPr>
          <w:rFonts w:ascii="Times New Roman" w:eastAsia="Times New Roman" w:hAnsi="Times New Roman"/>
          <w:sz w:val="24"/>
          <w:lang w:val="en-GB"/>
        </w:rPr>
        <w:t xml:space="preserve">In these scientific disciplines, the variety of methods is reflected in the different definitions of expertise, which can be summarized in two broad classes </w:t>
      </w:r>
      <w:r w:rsidRPr="001D7495">
        <w:rPr>
          <w:rFonts w:ascii="Times New Roman" w:eastAsia="Times New Roman" w:hAnsi="Times New Roman"/>
          <w:noProof/>
          <w:sz w:val="24"/>
          <w:lang w:val="en-GB"/>
        </w:rPr>
        <w:t>(Gobet, 2016)</w:t>
      </w:r>
      <w:r w:rsidRPr="001D7495">
        <w:rPr>
          <w:rFonts w:ascii="Times New Roman" w:eastAsia="Times New Roman" w:hAnsi="Times New Roman"/>
          <w:sz w:val="24"/>
          <w:lang w:val="en-GB"/>
        </w:rPr>
        <w:t xml:space="preserve">. With </w:t>
      </w:r>
      <w:r w:rsidRPr="001D7495">
        <w:rPr>
          <w:rFonts w:ascii="Times New Roman" w:eastAsia="Times New Roman" w:hAnsi="Times New Roman"/>
          <w:i/>
          <w:sz w:val="24"/>
          <w:lang w:val="en-GB"/>
        </w:rPr>
        <w:t>performance-based expertise</w:t>
      </w:r>
      <w:r w:rsidRPr="001D7495">
        <w:rPr>
          <w:rFonts w:ascii="Times New Roman" w:eastAsia="Times New Roman" w:hAnsi="Times New Roman"/>
          <w:sz w:val="24"/>
          <w:lang w:val="en-GB"/>
        </w:rPr>
        <w:t xml:space="preserve"> (</w:t>
      </w:r>
      <w:r w:rsidRPr="001D7495">
        <w:rPr>
          <w:rFonts w:ascii="Times New Roman" w:eastAsia="Times New Roman" w:hAnsi="Times New Roman"/>
          <w:i/>
          <w:sz w:val="24"/>
          <w:lang w:val="en-GB"/>
        </w:rPr>
        <w:t>P-expertise</w:t>
      </w:r>
      <w:r w:rsidRPr="001D7495">
        <w:rPr>
          <w:rFonts w:ascii="Times New Roman" w:eastAsia="Times New Roman" w:hAnsi="Times New Roman"/>
          <w:sz w:val="24"/>
          <w:lang w:val="en-GB"/>
        </w:rPr>
        <w:t xml:space="preserve">), the emphasis is on superior performance, which typically can be replicated in controlled experiments. This is the kind of definition commonly used in psychology and neuroscience. For example, </w:t>
      </w:r>
      <w:r w:rsidRPr="001D7495">
        <w:rPr>
          <w:rFonts w:ascii="Times New Roman" w:eastAsia="Times New Roman" w:hAnsi="Times New Roman"/>
          <w:noProof/>
          <w:sz w:val="24"/>
          <w:lang w:val="en-GB"/>
        </w:rPr>
        <w:t>Gobet (2016, p. 5)</w:t>
      </w:r>
      <w:r w:rsidRPr="001D7495">
        <w:rPr>
          <w:rFonts w:ascii="Times New Roman" w:eastAsia="Times New Roman" w:hAnsi="Times New Roman"/>
          <w:sz w:val="24"/>
          <w:lang w:val="en-GB"/>
        </w:rPr>
        <w:t xml:space="preserve"> defines an expert as “somebody who obtains results that are vastly superior to those obtained by the majority of the population.” With this definition, examples of experts could be athletes, chess players, or pianists. With </w:t>
      </w:r>
      <w:r w:rsidRPr="001D7495">
        <w:rPr>
          <w:rFonts w:ascii="Times New Roman" w:eastAsia="Times New Roman" w:hAnsi="Times New Roman"/>
          <w:i/>
          <w:sz w:val="24"/>
          <w:lang w:val="en-GB"/>
        </w:rPr>
        <w:t>reputation-based expertise (R-expertise)</w:t>
      </w:r>
      <w:r w:rsidRPr="001D7495">
        <w:rPr>
          <w:rFonts w:ascii="Times New Roman" w:eastAsia="Times New Roman" w:hAnsi="Times New Roman"/>
          <w:sz w:val="24"/>
          <w:lang w:val="en-GB"/>
        </w:rPr>
        <w:t xml:space="preserve">, expertise is defined using social labels such as </w:t>
      </w:r>
      <w:r w:rsidRPr="001D7495">
        <w:rPr>
          <w:rFonts w:ascii="Times New Roman" w:eastAsia="Times New Roman" w:hAnsi="Times New Roman"/>
          <w:sz w:val="24"/>
          <w:lang w:val="en-GB"/>
        </w:rPr>
        <w:t xml:space="preserve">professional certificates, diplomas, PhDs, or simply unofficial recognition. This definition, which is often used in sociology, recognizes that such labels are sometimes given irrespectively of the “experts’” real competences. In some cases, there is reputation but no knowledge: Some vocal commentators in popular media hardly know more than the well-informed person. In other cases, the “experts” have acquired a considerable amount of technical knowledge, but this knowledge is useless for the task at hand: Astrologers base their predictions on pseudo-science </w:t>
      </w:r>
      <w:r w:rsidRPr="001D7495">
        <w:rPr>
          <w:rFonts w:ascii="Times New Roman" w:eastAsia="Times New Roman" w:hAnsi="Times New Roman"/>
          <w:noProof/>
          <w:sz w:val="24"/>
          <w:lang w:val="en-GB"/>
        </w:rPr>
        <w:t>(Carlson, 1985)</w:t>
      </w:r>
      <w:r w:rsidRPr="001D7495">
        <w:rPr>
          <w:rFonts w:ascii="Times New Roman" w:eastAsia="Times New Roman" w:hAnsi="Times New Roman"/>
          <w:sz w:val="24"/>
          <w:lang w:val="en-GB"/>
        </w:rPr>
        <w:t xml:space="preserve">, and investors in the stock market cannot predict the future better than chance </w:t>
      </w:r>
      <w:r w:rsidRPr="001D7495">
        <w:rPr>
          <w:rFonts w:ascii="Times New Roman" w:eastAsia="Times New Roman" w:hAnsi="Times New Roman"/>
          <w:noProof/>
          <w:sz w:val="24"/>
          <w:lang w:val="en-GB"/>
        </w:rPr>
        <w:t>(Cowles, 1944)</w:t>
      </w:r>
      <w:r w:rsidRPr="001D7495">
        <w:rPr>
          <w:rFonts w:ascii="Times New Roman" w:eastAsia="Times New Roman" w:hAnsi="Times New Roman"/>
          <w:sz w:val="24"/>
          <w:lang w:val="en-GB"/>
        </w:rPr>
        <w:t>.</w:t>
      </w:r>
    </w:p>
    <w:p w14:paraId="2D6AE135" w14:textId="32DBD553" w:rsidR="001D7495" w:rsidRPr="001D7495" w:rsidRDefault="001D7495" w:rsidP="001D7495">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eastAsia="Times New Roman" w:hAnsi="Times New Roman"/>
          <w:sz w:val="24"/>
          <w:lang w:val="en-GB"/>
        </w:rPr>
      </w:pPr>
      <w:r w:rsidRPr="001D7495">
        <w:rPr>
          <w:rFonts w:ascii="Times New Roman" w:eastAsia="Times New Roman" w:hAnsi="Times New Roman"/>
          <w:sz w:val="24"/>
          <w:lang w:val="en-GB"/>
        </w:rPr>
        <w:t>Talking about “disciplines” might give the wrong impression that each discipline is homogeneous. Nothing could be further from the truth. For example, in psychology, numerous approaches or “schools” can be identified, which often differ in important ways; among the main approaches, one might mention those based on cognitive psychology, genetics, giftedness, psychometrics, and decision making, to mention just a few. The same variety can be found in other disciplines.</w:t>
      </w:r>
    </w:p>
    <w:p w14:paraId="03176073" w14:textId="487EF5AF" w:rsidR="001D7495" w:rsidRDefault="001D7495" w:rsidP="001D7495">
      <w:pPr>
        <w:spacing w:after="120" w:line="240" w:lineRule="auto"/>
        <w:rPr>
          <w:rFonts w:ascii="Arial" w:hAnsi="Arial" w:cs="Arial"/>
          <w:b/>
          <w:sz w:val="24"/>
          <w:szCs w:val="24"/>
        </w:rPr>
      </w:pPr>
      <w:r>
        <w:rPr>
          <w:rFonts w:ascii="Arial" w:eastAsia="Times New Roman" w:hAnsi="Arial" w:cs="Arial"/>
          <w:b/>
          <w:color w:val="auto"/>
          <w:sz w:val="24"/>
          <w:szCs w:val="24"/>
        </w:rPr>
        <w:br/>
      </w:r>
      <w:r>
        <w:rPr>
          <w:rFonts w:ascii="Arial" w:hAnsi="Arial" w:cs="Arial"/>
          <w:b/>
          <w:sz w:val="24"/>
          <w:szCs w:val="24"/>
        </w:rPr>
        <w:t>Transversal Themes</w:t>
      </w:r>
    </w:p>
    <w:p w14:paraId="47E8E734" w14:textId="77777777" w:rsidR="0072128F" w:rsidRDefault="001D7495" w:rsidP="001D7495">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eastAsia="Times New Roman" w:hAnsi="Times New Roman"/>
          <w:sz w:val="24"/>
          <w:lang w:val="en-GB"/>
        </w:rPr>
      </w:pPr>
      <w:r w:rsidRPr="001D7495">
        <w:rPr>
          <w:rFonts w:ascii="Times New Roman" w:eastAsia="Times New Roman" w:hAnsi="Times New Roman"/>
          <w:sz w:val="24"/>
          <w:lang w:val="en-GB"/>
        </w:rPr>
        <w:t xml:space="preserve">Given the diverse methods and definitions used in the different </w:t>
      </w:r>
      <w:proofErr w:type="gramStart"/>
      <w:r w:rsidRPr="001D7495">
        <w:rPr>
          <w:rFonts w:ascii="Times New Roman" w:eastAsia="Times New Roman" w:hAnsi="Times New Roman"/>
          <w:sz w:val="24"/>
          <w:lang w:val="en-GB"/>
        </w:rPr>
        <w:t>disciplines, and</w:t>
      </w:r>
      <w:proofErr w:type="gramEnd"/>
      <w:r w:rsidRPr="001D7495">
        <w:rPr>
          <w:rFonts w:ascii="Times New Roman" w:eastAsia="Times New Roman" w:hAnsi="Times New Roman"/>
          <w:sz w:val="24"/>
          <w:lang w:val="en-GB"/>
        </w:rPr>
        <w:t xml:space="preserve"> given the varied approaches within each field of study, it stands to reason that there will be many differences in the way these disciplines study expertise. I have proposed to use eight themes (</w:t>
      </w:r>
      <w:proofErr w:type="spellStart"/>
      <w:r w:rsidRPr="001D7495">
        <w:rPr>
          <w:rFonts w:ascii="Times New Roman" w:eastAsia="Times New Roman" w:hAnsi="Times New Roman"/>
          <w:sz w:val="24"/>
          <w:lang w:val="en-GB"/>
        </w:rPr>
        <w:t>Gobet</w:t>
      </w:r>
      <w:proofErr w:type="spellEnd"/>
      <w:r w:rsidRPr="001D7495">
        <w:rPr>
          <w:rFonts w:ascii="Times New Roman" w:eastAsia="Times New Roman" w:hAnsi="Times New Roman"/>
          <w:sz w:val="24"/>
          <w:lang w:val="en-GB"/>
        </w:rPr>
        <w:t xml:space="preserve">, 2016) to compare the way disciplines tackle expertise (see Table 1). </w:t>
      </w:r>
    </w:p>
    <w:p w14:paraId="687A27F7" w14:textId="77777777" w:rsidR="0072128F" w:rsidRDefault="0072128F" w:rsidP="0072128F">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Arial" w:eastAsia="Times New Roman" w:hAnsi="Arial" w:cs="Arial"/>
          <w:b/>
          <w:sz w:val="18"/>
          <w:szCs w:val="18"/>
          <w:lang w:val="en-GB"/>
        </w:rPr>
      </w:pPr>
    </w:p>
    <w:p w14:paraId="4CFA9426" w14:textId="7D194F59" w:rsidR="0072128F" w:rsidRPr="0072128F" w:rsidRDefault="00736446" w:rsidP="00736446">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Arial" w:eastAsia="Times New Roman" w:hAnsi="Arial" w:cs="Arial"/>
          <w:b/>
          <w:sz w:val="18"/>
          <w:szCs w:val="18"/>
          <w:lang w:val="en-GB"/>
        </w:rPr>
      </w:pPr>
      <w:r>
        <w:rPr>
          <w:rFonts w:ascii="Arial" w:eastAsia="Times New Roman" w:hAnsi="Arial" w:cs="Arial"/>
          <w:b/>
          <w:sz w:val="18"/>
          <w:szCs w:val="18"/>
          <w:lang w:val="en-GB"/>
        </w:rPr>
        <w:t xml:space="preserve">           </w:t>
      </w:r>
      <w:r w:rsidR="0072128F" w:rsidRPr="0072128F">
        <w:rPr>
          <w:rFonts w:ascii="Arial" w:eastAsia="Times New Roman" w:hAnsi="Arial" w:cs="Arial"/>
          <w:b/>
          <w:sz w:val="18"/>
          <w:szCs w:val="18"/>
          <w:lang w:val="en-GB"/>
        </w:rPr>
        <w:t xml:space="preserve">Table 1. </w:t>
      </w:r>
      <w:r w:rsidR="0072128F" w:rsidRPr="0072128F">
        <w:rPr>
          <w:rFonts w:ascii="Times New Roman" w:eastAsia="Times New Roman" w:hAnsi="Times New Roman"/>
          <w:sz w:val="20"/>
          <w:szCs w:val="20"/>
          <w:lang w:val="en-GB"/>
        </w:rPr>
        <w:t xml:space="preserve">Eight transversal themes cutting </w:t>
      </w:r>
      <w:r>
        <w:rPr>
          <w:rFonts w:ascii="Times New Roman" w:eastAsia="Times New Roman" w:hAnsi="Times New Roman"/>
          <w:sz w:val="20"/>
          <w:szCs w:val="20"/>
          <w:lang w:val="en-GB"/>
        </w:rPr>
        <w:br/>
        <w:t xml:space="preserve">            </w:t>
      </w:r>
      <w:r w:rsidR="0072128F" w:rsidRPr="0072128F">
        <w:rPr>
          <w:rFonts w:ascii="Times New Roman" w:eastAsia="Times New Roman" w:hAnsi="Times New Roman"/>
          <w:sz w:val="20"/>
          <w:szCs w:val="20"/>
          <w:lang w:val="en-GB"/>
        </w:rPr>
        <w:t xml:space="preserve">across scientific disciplines </w:t>
      </w:r>
      <w:r w:rsidR="0072128F" w:rsidRPr="0072128F">
        <w:rPr>
          <w:rFonts w:ascii="Times New Roman" w:eastAsia="Times New Roman" w:hAnsi="Times New Roman"/>
          <w:noProof/>
          <w:sz w:val="20"/>
          <w:szCs w:val="20"/>
          <w:lang w:val="en-GB"/>
        </w:rPr>
        <w:t>(Gobet, 2016)</w:t>
      </w:r>
      <w:r w:rsidR="0072128F">
        <w:rPr>
          <w:rFonts w:ascii="Times New Roman" w:eastAsia="Times New Roman" w:hAnsi="Times New Roman"/>
          <w:noProof/>
          <w:sz w:val="20"/>
          <w:szCs w:val="20"/>
          <w:lang w:val="en-GB"/>
        </w:rPr>
        <w:br/>
      </w:r>
    </w:p>
    <w:tbl>
      <w:tblPr>
        <w:tblStyle w:val="TableGrid"/>
        <w:tblW w:w="0" w:type="auto"/>
        <w:jc w:val="center"/>
        <w:tblLook w:val="04A0" w:firstRow="1" w:lastRow="0" w:firstColumn="1" w:lastColumn="0" w:noHBand="0" w:noVBand="1"/>
      </w:tblPr>
      <w:tblGrid>
        <w:gridCol w:w="3420"/>
      </w:tblGrid>
      <w:tr w:rsidR="0072128F" w:rsidRPr="0072128F" w14:paraId="69BEAB08" w14:textId="77777777" w:rsidTr="00736446">
        <w:trPr>
          <w:jc w:val="center"/>
        </w:trPr>
        <w:tc>
          <w:tcPr>
            <w:tcW w:w="3420" w:type="dxa"/>
            <w:tcMar>
              <w:top w:w="43" w:type="dxa"/>
              <w:left w:w="115" w:type="dxa"/>
              <w:bottom w:w="43" w:type="dxa"/>
              <w:right w:w="115" w:type="dxa"/>
            </w:tcMar>
          </w:tcPr>
          <w:p w14:paraId="441262FA" w14:textId="50AC86B8" w:rsidR="0072128F" w:rsidRPr="0072128F" w:rsidRDefault="0072128F" w:rsidP="00736446">
            <w:pPr>
              <w:spacing w:line="276" w:lineRule="auto"/>
              <w:rPr>
                <w:rFonts w:ascii="Times New Roman" w:hAnsi="Times New Roman" w:cs="Calibri"/>
                <w:color w:val="000000"/>
                <w:sz w:val="20"/>
                <w:szCs w:val="20"/>
                <w:lang w:val="en-GB"/>
              </w:rPr>
            </w:pPr>
            <w:r w:rsidRPr="0072128F">
              <w:rPr>
                <w:rFonts w:ascii="Times New Roman" w:hAnsi="Times New Roman" w:cs="Calibri"/>
                <w:color w:val="000000"/>
                <w:sz w:val="20"/>
                <w:szCs w:val="20"/>
                <w:lang w:val="en-GB"/>
              </w:rPr>
              <w:t xml:space="preserve">Definition/Identification of </w:t>
            </w:r>
            <w:r w:rsidR="00476035">
              <w:rPr>
                <w:rFonts w:ascii="Times New Roman" w:hAnsi="Times New Roman" w:cs="Calibri"/>
                <w:color w:val="000000"/>
                <w:sz w:val="20"/>
                <w:szCs w:val="20"/>
                <w:lang w:val="en-GB"/>
              </w:rPr>
              <w:t>E</w:t>
            </w:r>
            <w:r w:rsidRPr="0072128F">
              <w:rPr>
                <w:rFonts w:ascii="Times New Roman" w:hAnsi="Times New Roman" w:cs="Calibri"/>
                <w:color w:val="000000"/>
                <w:sz w:val="20"/>
                <w:szCs w:val="20"/>
                <w:lang w:val="en-GB"/>
              </w:rPr>
              <w:t>xpertise</w:t>
            </w:r>
          </w:p>
          <w:p w14:paraId="106BDD40" w14:textId="77777777" w:rsidR="0072128F" w:rsidRPr="0072128F" w:rsidRDefault="0072128F" w:rsidP="00736446">
            <w:pPr>
              <w:spacing w:line="276" w:lineRule="auto"/>
              <w:rPr>
                <w:rFonts w:ascii="Times New Roman" w:hAnsi="Times New Roman" w:cs="Calibri"/>
                <w:color w:val="000000"/>
                <w:sz w:val="20"/>
                <w:szCs w:val="20"/>
                <w:lang w:val="en-GB"/>
              </w:rPr>
            </w:pPr>
            <w:r w:rsidRPr="0072128F">
              <w:rPr>
                <w:rFonts w:ascii="Times New Roman" w:hAnsi="Times New Roman" w:cs="Calibri"/>
                <w:color w:val="000000"/>
                <w:sz w:val="20"/>
                <w:szCs w:val="20"/>
                <w:lang w:val="en-GB"/>
              </w:rPr>
              <w:t>Rationality</w:t>
            </w:r>
          </w:p>
          <w:p w14:paraId="15139E38" w14:textId="77777777" w:rsidR="0072128F" w:rsidRPr="0072128F" w:rsidRDefault="0072128F" w:rsidP="00736446">
            <w:pPr>
              <w:spacing w:line="276" w:lineRule="auto"/>
              <w:rPr>
                <w:rFonts w:ascii="Times New Roman" w:hAnsi="Times New Roman" w:cs="Calibri"/>
                <w:color w:val="000000"/>
                <w:sz w:val="20"/>
                <w:szCs w:val="20"/>
                <w:lang w:val="en-GB"/>
              </w:rPr>
            </w:pPr>
            <w:r w:rsidRPr="0072128F">
              <w:rPr>
                <w:rFonts w:ascii="Times New Roman" w:hAnsi="Times New Roman" w:cs="Calibri"/>
                <w:color w:val="000000"/>
                <w:sz w:val="20"/>
                <w:szCs w:val="20"/>
                <w:lang w:val="en-GB"/>
              </w:rPr>
              <w:t>Knowledge</w:t>
            </w:r>
          </w:p>
          <w:p w14:paraId="2CA98623" w14:textId="77777777" w:rsidR="0072128F" w:rsidRPr="0072128F" w:rsidRDefault="0072128F" w:rsidP="00736446">
            <w:pPr>
              <w:spacing w:line="276" w:lineRule="auto"/>
              <w:rPr>
                <w:rFonts w:ascii="Times New Roman" w:hAnsi="Times New Roman" w:cs="Calibri"/>
                <w:color w:val="000000"/>
                <w:sz w:val="20"/>
                <w:szCs w:val="20"/>
                <w:lang w:val="en-GB"/>
              </w:rPr>
            </w:pPr>
            <w:r w:rsidRPr="0072128F">
              <w:rPr>
                <w:rFonts w:ascii="Times New Roman" w:hAnsi="Times New Roman" w:cs="Calibri"/>
                <w:color w:val="000000"/>
                <w:sz w:val="20"/>
                <w:szCs w:val="20"/>
                <w:lang w:val="en-GB"/>
              </w:rPr>
              <w:t>Search</w:t>
            </w:r>
          </w:p>
          <w:p w14:paraId="7E8BC49A" w14:textId="77777777" w:rsidR="0072128F" w:rsidRPr="0072128F" w:rsidRDefault="0072128F" w:rsidP="00736446">
            <w:pPr>
              <w:spacing w:line="276" w:lineRule="auto"/>
              <w:rPr>
                <w:rFonts w:ascii="Times New Roman" w:hAnsi="Times New Roman" w:cs="Calibri"/>
                <w:color w:val="000000"/>
                <w:sz w:val="20"/>
                <w:szCs w:val="20"/>
                <w:lang w:val="en-GB"/>
              </w:rPr>
            </w:pPr>
            <w:r w:rsidRPr="0072128F">
              <w:rPr>
                <w:rFonts w:ascii="Times New Roman" w:hAnsi="Times New Roman" w:cs="Calibri"/>
                <w:color w:val="000000"/>
                <w:sz w:val="20"/>
                <w:szCs w:val="20"/>
                <w:lang w:val="en-GB"/>
              </w:rPr>
              <w:t>Generativity</w:t>
            </w:r>
          </w:p>
          <w:p w14:paraId="53024A9F" w14:textId="77777777" w:rsidR="0072128F" w:rsidRPr="0072128F" w:rsidRDefault="0072128F" w:rsidP="00736446">
            <w:pPr>
              <w:spacing w:line="276" w:lineRule="auto"/>
              <w:rPr>
                <w:rFonts w:ascii="Times New Roman" w:hAnsi="Times New Roman" w:cs="Calibri"/>
                <w:color w:val="000000"/>
                <w:sz w:val="20"/>
                <w:szCs w:val="20"/>
                <w:lang w:val="en-GB"/>
              </w:rPr>
            </w:pPr>
            <w:r w:rsidRPr="0072128F">
              <w:rPr>
                <w:rFonts w:ascii="Times New Roman" w:hAnsi="Times New Roman" w:cs="Calibri"/>
                <w:color w:val="000000"/>
                <w:sz w:val="20"/>
                <w:szCs w:val="20"/>
                <w:lang w:val="en-GB"/>
              </w:rPr>
              <w:t>Diachronicity</w:t>
            </w:r>
          </w:p>
          <w:p w14:paraId="19F58736" w14:textId="77777777" w:rsidR="0072128F" w:rsidRPr="0072128F" w:rsidRDefault="0072128F" w:rsidP="00736446">
            <w:pPr>
              <w:spacing w:line="276" w:lineRule="auto"/>
              <w:rPr>
                <w:rFonts w:ascii="Times New Roman" w:hAnsi="Times New Roman" w:cs="Calibri"/>
                <w:color w:val="000000"/>
                <w:sz w:val="20"/>
                <w:szCs w:val="20"/>
                <w:lang w:val="en-GB"/>
              </w:rPr>
            </w:pPr>
            <w:r w:rsidRPr="0072128F">
              <w:rPr>
                <w:rFonts w:ascii="Times New Roman" w:hAnsi="Times New Roman" w:cs="Calibri"/>
                <w:color w:val="000000"/>
                <w:sz w:val="20"/>
                <w:szCs w:val="20"/>
                <w:lang w:val="en-GB"/>
              </w:rPr>
              <w:t>Nature vs. Nurture</w:t>
            </w:r>
          </w:p>
          <w:p w14:paraId="7B50E719" w14:textId="77777777" w:rsidR="0072128F" w:rsidRPr="0072128F" w:rsidRDefault="0072128F" w:rsidP="00736446">
            <w:pPr>
              <w:spacing w:line="276" w:lineRule="auto"/>
              <w:rPr>
                <w:rFonts w:ascii="Times New Roman" w:hAnsi="Times New Roman" w:cs="Calibri"/>
                <w:color w:val="000000"/>
                <w:lang w:val="en-GB"/>
              </w:rPr>
            </w:pPr>
            <w:r w:rsidRPr="0072128F">
              <w:rPr>
                <w:rFonts w:ascii="Times New Roman" w:hAnsi="Times New Roman" w:cs="Calibri"/>
                <w:color w:val="000000"/>
                <w:sz w:val="20"/>
                <w:szCs w:val="20"/>
                <w:lang w:val="en-GB"/>
              </w:rPr>
              <w:t>Environment and Society</w:t>
            </w:r>
          </w:p>
        </w:tc>
      </w:tr>
    </w:tbl>
    <w:p w14:paraId="36B56D30" w14:textId="77777777" w:rsidR="0072128F" w:rsidRDefault="0072128F" w:rsidP="001D7495">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eastAsia="Times New Roman" w:hAnsi="Times New Roman"/>
          <w:sz w:val="24"/>
          <w:lang w:val="en-GB"/>
        </w:rPr>
      </w:pPr>
    </w:p>
    <w:p w14:paraId="50A9B668" w14:textId="315C22F2" w:rsidR="001D7495" w:rsidRPr="001D7495" w:rsidRDefault="001D7495" w:rsidP="001D7495">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eastAsia="Times New Roman" w:hAnsi="Times New Roman"/>
          <w:sz w:val="24"/>
          <w:lang w:val="en-GB"/>
        </w:rPr>
      </w:pPr>
      <w:r w:rsidRPr="001D7495">
        <w:rPr>
          <w:rFonts w:ascii="Times New Roman" w:eastAsia="Times New Roman" w:hAnsi="Times New Roman"/>
          <w:sz w:val="24"/>
          <w:lang w:val="en-GB"/>
        </w:rPr>
        <w:lastRenderedPageBreak/>
        <w:t xml:space="preserve">Examining scientific disciplines through these lenses turns out to be illuminating. Let us briefly consider the theme of rationality, as an example. A first observation is that this concept has many different definitions. For example, in cognitive science, Newell </w:t>
      </w:r>
      <w:r w:rsidRPr="001D7495">
        <w:rPr>
          <w:rFonts w:ascii="Times New Roman" w:eastAsia="Times New Roman" w:hAnsi="Times New Roman"/>
          <w:noProof/>
          <w:sz w:val="24"/>
          <w:lang w:val="en-GB"/>
        </w:rPr>
        <w:t>(1982)</w:t>
      </w:r>
      <w:r w:rsidRPr="001D7495">
        <w:rPr>
          <w:rFonts w:ascii="Times New Roman" w:eastAsia="Times New Roman" w:hAnsi="Times New Roman"/>
          <w:sz w:val="24"/>
          <w:lang w:val="en-GB"/>
        </w:rPr>
        <w:t xml:space="preserve"> argues that an agent is rational to the extent that it fully uses its knowledge to reach its goals. In economics, where the assumption of (full) rationality is central, an agent is rational if its choices maximize utility. In recent years, a similar assumption has also been made in several theories in psychology (e.g., theories based on Bayesian inference). Among the many definitions put forward in philosophy, Montero and Evans </w:t>
      </w:r>
      <w:r w:rsidRPr="001D7495">
        <w:rPr>
          <w:rFonts w:ascii="Times New Roman" w:eastAsia="Times New Roman" w:hAnsi="Times New Roman"/>
          <w:noProof/>
          <w:sz w:val="24"/>
          <w:lang w:val="en-GB"/>
        </w:rPr>
        <w:t>(2011)</w:t>
      </w:r>
      <w:r w:rsidRPr="001D7495">
        <w:rPr>
          <w:rFonts w:ascii="Times New Roman" w:eastAsia="Times New Roman" w:hAnsi="Times New Roman"/>
          <w:sz w:val="24"/>
          <w:lang w:val="en-GB"/>
        </w:rPr>
        <w:t xml:space="preserve"> propose that agents are rational if they can always justify their decisions.</w:t>
      </w:r>
    </w:p>
    <w:p w14:paraId="0968FCB6" w14:textId="77777777" w:rsidR="00736446" w:rsidRPr="00736446" w:rsidRDefault="00736446" w:rsidP="0073644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eastAsia="Times New Roman" w:hAnsi="Times New Roman"/>
          <w:sz w:val="24"/>
          <w:highlight w:val="yellow"/>
          <w:lang w:val="en-GB"/>
        </w:rPr>
      </w:pPr>
      <w:r w:rsidRPr="00736446">
        <w:rPr>
          <w:rFonts w:ascii="Times New Roman" w:eastAsia="Times New Roman" w:hAnsi="Times New Roman"/>
          <w:sz w:val="24"/>
          <w:lang w:val="en-GB"/>
        </w:rPr>
        <w:t xml:space="preserve">The study of expertise is very informative about rationality: If the best humans in a domain do not behave rationally, then it is very difficult indeed to argue that humans in general are rational. In psychology, expertise research concludes that humans are far from being fully rational: Experts make minor and occasionally even major mistakes in domains such as chess, medicine, and sports. This point has been </w:t>
      </w:r>
      <w:proofErr w:type="gramStart"/>
      <w:r w:rsidRPr="00736446">
        <w:rPr>
          <w:rFonts w:ascii="Times New Roman" w:eastAsia="Times New Roman" w:hAnsi="Times New Roman"/>
          <w:sz w:val="24"/>
          <w:lang w:val="en-GB"/>
        </w:rPr>
        <w:t>in particular documented</w:t>
      </w:r>
      <w:proofErr w:type="gramEnd"/>
      <w:r w:rsidRPr="00736446">
        <w:rPr>
          <w:rFonts w:ascii="Times New Roman" w:eastAsia="Times New Roman" w:hAnsi="Times New Roman"/>
          <w:sz w:val="24"/>
          <w:lang w:val="en-GB"/>
        </w:rPr>
        <w:t xml:space="preserve"> in research carried out in the judgment and decision-making tradition </w:t>
      </w:r>
      <w:r w:rsidRPr="00736446">
        <w:rPr>
          <w:rFonts w:ascii="Times New Roman" w:eastAsia="Times New Roman" w:hAnsi="Times New Roman"/>
          <w:noProof/>
          <w:sz w:val="24"/>
          <w:lang w:val="en-GB"/>
        </w:rPr>
        <w:t>(e.g., Dawes, 1994)</w:t>
      </w:r>
      <w:r w:rsidRPr="00736446">
        <w:rPr>
          <w:rFonts w:ascii="Times New Roman" w:eastAsia="Times New Roman" w:hAnsi="Times New Roman"/>
          <w:sz w:val="24"/>
          <w:lang w:val="en-GB"/>
        </w:rPr>
        <w:t xml:space="preserve">. This conclusion is of course consonant with the concept of bounded rationality </w:t>
      </w:r>
      <w:r w:rsidRPr="00736446">
        <w:rPr>
          <w:rFonts w:ascii="Times New Roman" w:eastAsia="Times New Roman" w:hAnsi="Times New Roman"/>
          <w:noProof/>
          <w:sz w:val="24"/>
          <w:lang w:val="en-GB"/>
        </w:rPr>
        <w:t>(Simon, 1982)</w:t>
      </w:r>
      <w:r w:rsidRPr="00736446">
        <w:rPr>
          <w:rFonts w:ascii="Times New Roman" w:eastAsia="Times New Roman" w:hAnsi="Times New Roman"/>
          <w:sz w:val="24"/>
          <w:lang w:val="en-GB"/>
        </w:rPr>
        <w:t xml:space="preserve">, according to which a decision maker’s rational choice is limited by cognitive constraints, </w:t>
      </w:r>
      <w:proofErr w:type="gramStart"/>
      <w:r w:rsidRPr="00736446">
        <w:rPr>
          <w:rFonts w:ascii="Times New Roman" w:eastAsia="Times New Roman" w:hAnsi="Times New Roman"/>
          <w:sz w:val="24"/>
          <w:lang w:val="en-GB"/>
        </w:rPr>
        <w:t>in particular limitations</w:t>
      </w:r>
      <w:proofErr w:type="gramEnd"/>
      <w:r w:rsidRPr="00736446">
        <w:rPr>
          <w:rFonts w:ascii="Times New Roman" w:eastAsia="Times New Roman" w:hAnsi="Times New Roman"/>
          <w:sz w:val="24"/>
          <w:lang w:val="en-GB"/>
        </w:rPr>
        <w:t xml:space="preserve"> in knowledge and computational resources, such as limited capacity of short-term memory and slow learning rates. But then, how can individuals become experts </w:t>
      </w:r>
      <w:proofErr w:type="gramStart"/>
      <w:r w:rsidRPr="00736446">
        <w:rPr>
          <w:rFonts w:ascii="Times New Roman" w:eastAsia="Times New Roman" w:hAnsi="Times New Roman"/>
          <w:sz w:val="24"/>
          <w:lang w:val="en-GB"/>
        </w:rPr>
        <w:t>in spite of</w:t>
      </w:r>
      <w:proofErr w:type="gramEnd"/>
      <w:r w:rsidRPr="00736446">
        <w:rPr>
          <w:rFonts w:ascii="Times New Roman" w:eastAsia="Times New Roman" w:hAnsi="Times New Roman"/>
          <w:sz w:val="24"/>
          <w:lang w:val="en-GB"/>
        </w:rPr>
        <w:t xml:space="preserve"> their bounded rationality? The answer is knowledge. By acquiring vast amounts of perceptual, declarative, and procedural knowledge, experts manage to automate many processes and rapidly identify the key features of a problem </w:t>
      </w:r>
      <w:r w:rsidRPr="00736446">
        <w:rPr>
          <w:rFonts w:ascii="Times New Roman" w:eastAsia="Times New Roman" w:hAnsi="Times New Roman"/>
          <w:noProof/>
          <w:sz w:val="24"/>
          <w:lang w:val="en-GB"/>
        </w:rPr>
        <w:t>(Campitelli &amp; Gobet, 2010; Simon &amp; Chase, 1973)</w:t>
      </w:r>
      <w:r w:rsidRPr="00736446">
        <w:rPr>
          <w:rFonts w:ascii="Times New Roman" w:eastAsia="Times New Roman" w:hAnsi="Times New Roman"/>
          <w:sz w:val="24"/>
          <w:lang w:val="en-GB"/>
        </w:rPr>
        <w:t xml:space="preserve">. </w:t>
      </w:r>
    </w:p>
    <w:p w14:paraId="1BB376E9" w14:textId="77777777" w:rsidR="00736446" w:rsidRPr="00736446" w:rsidRDefault="00736446" w:rsidP="0073644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eastAsia="Times New Roman" w:hAnsi="Times New Roman"/>
          <w:sz w:val="24"/>
          <w:lang w:val="en-GB"/>
        </w:rPr>
      </w:pPr>
      <w:r w:rsidRPr="00736446">
        <w:rPr>
          <w:rFonts w:ascii="Times New Roman" w:eastAsia="Times New Roman" w:hAnsi="Times New Roman"/>
          <w:sz w:val="24"/>
          <w:lang w:val="en-GB"/>
        </w:rPr>
        <w:t xml:space="preserve">In philosophy, there have been many discussions about experts’ rationality. For example, Dreyfus and Dreyfus </w:t>
      </w:r>
      <w:r w:rsidRPr="00736446">
        <w:rPr>
          <w:rFonts w:ascii="Times New Roman" w:eastAsia="Times New Roman" w:hAnsi="Times New Roman"/>
          <w:noProof/>
          <w:sz w:val="24"/>
          <w:lang w:val="en-GB"/>
        </w:rPr>
        <w:t>(1986)</w:t>
      </w:r>
      <w:r w:rsidRPr="00736446">
        <w:rPr>
          <w:rFonts w:ascii="Times New Roman" w:eastAsia="Times New Roman" w:hAnsi="Times New Roman"/>
          <w:sz w:val="24"/>
          <w:lang w:val="en-GB"/>
        </w:rPr>
        <w:t xml:space="preserve"> argue that experts are </w:t>
      </w:r>
      <w:proofErr w:type="spellStart"/>
      <w:r w:rsidRPr="00736446">
        <w:rPr>
          <w:rFonts w:ascii="Times New Roman" w:eastAsia="Times New Roman" w:hAnsi="Times New Roman"/>
          <w:i/>
          <w:sz w:val="24"/>
          <w:lang w:val="en-GB"/>
        </w:rPr>
        <w:t>arational</w:t>
      </w:r>
      <w:proofErr w:type="spellEnd"/>
      <w:r w:rsidRPr="00736446">
        <w:rPr>
          <w:rFonts w:ascii="Times New Roman" w:eastAsia="Times New Roman" w:hAnsi="Times New Roman"/>
          <w:i/>
          <w:sz w:val="24"/>
          <w:lang w:val="en-GB"/>
        </w:rPr>
        <w:t>,</w:t>
      </w:r>
      <w:r w:rsidRPr="00736446">
        <w:rPr>
          <w:rFonts w:ascii="Times New Roman" w:eastAsia="Times New Roman" w:hAnsi="Times New Roman"/>
          <w:sz w:val="24"/>
          <w:lang w:val="en-GB"/>
        </w:rPr>
        <w:t xml:space="preserve"> in the sense that the </w:t>
      </w:r>
      <w:r w:rsidRPr="00736446">
        <w:rPr>
          <w:rFonts w:ascii="Times New Roman" w:eastAsia="Times New Roman" w:hAnsi="Times New Roman"/>
          <w:sz w:val="24"/>
          <w:lang w:val="en-GB"/>
        </w:rPr>
        <w:t xml:space="preserve">concept of rationality does not apply to them, as they act intuitively, without making decisions. By contrast, Montero and Evans </w:t>
      </w:r>
      <w:r w:rsidRPr="00736446">
        <w:rPr>
          <w:rFonts w:ascii="Times New Roman" w:eastAsia="Times New Roman" w:hAnsi="Times New Roman"/>
          <w:noProof/>
          <w:sz w:val="24"/>
          <w:lang w:val="en-GB"/>
        </w:rPr>
        <w:t>(2011)</w:t>
      </w:r>
      <w:r w:rsidRPr="00736446">
        <w:rPr>
          <w:rFonts w:ascii="Times New Roman" w:eastAsia="Times New Roman" w:hAnsi="Times New Roman"/>
          <w:sz w:val="24"/>
          <w:lang w:val="en-GB"/>
        </w:rPr>
        <w:t xml:space="preserve"> contend that experts are fully rational, in the sense mentioned above that they can fully justify their actions. The theme of rationality is relatively less important in other disciplines such as education and sociology.</w:t>
      </w:r>
    </w:p>
    <w:p w14:paraId="55E896A6" w14:textId="7EF4BC6A" w:rsidR="00736446" w:rsidRDefault="00736446" w:rsidP="00736446">
      <w:pPr>
        <w:spacing w:after="120" w:line="240" w:lineRule="auto"/>
        <w:rPr>
          <w:rFonts w:ascii="Arial" w:hAnsi="Arial" w:cs="Arial"/>
          <w:b/>
          <w:sz w:val="24"/>
          <w:szCs w:val="24"/>
        </w:rPr>
      </w:pPr>
      <w:r>
        <w:rPr>
          <w:rFonts w:ascii="Arial" w:eastAsia="Times New Roman" w:hAnsi="Arial" w:cs="Arial"/>
          <w:b/>
          <w:color w:val="auto"/>
          <w:sz w:val="24"/>
          <w:szCs w:val="24"/>
        </w:rPr>
        <w:br/>
      </w:r>
      <w:r>
        <w:rPr>
          <w:rFonts w:ascii="Arial" w:hAnsi="Arial" w:cs="Arial"/>
          <w:b/>
          <w:sz w:val="24"/>
          <w:szCs w:val="24"/>
        </w:rPr>
        <w:t>The Necessity for a Multidisciplinary Science of Expertise</w:t>
      </w:r>
    </w:p>
    <w:p w14:paraId="6DF0C5AA" w14:textId="77777777" w:rsidR="00736446" w:rsidRPr="00736446" w:rsidRDefault="00736446" w:rsidP="00736446">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eastAsia="Times New Roman" w:hAnsi="Times New Roman"/>
          <w:sz w:val="24"/>
          <w:lang w:val="en-GB"/>
        </w:rPr>
      </w:pPr>
      <w:r w:rsidRPr="00736446">
        <w:rPr>
          <w:rFonts w:ascii="Times New Roman" w:eastAsia="Times New Roman" w:hAnsi="Times New Roman"/>
          <w:sz w:val="24"/>
          <w:lang w:val="en-GB"/>
        </w:rPr>
        <w:t xml:space="preserve">Research into expertise has been successful in examining several questions within each discipline. It has been much less successful in reaching a broad multidisciplinary understanding of expertise. This is in great part due to the traditional boundaries between fields of study which impede communication. However, the lack of conversation within individual disciplines is also part of the problem. When there is little positive and productive interaction within each discipline—think of the acrimonious debate about deliberate practice and talent in psychology, as exemplified by the July-August 2014 issue of the journal </w:t>
      </w:r>
      <w:r w:rsidRPr="00736446">
        <w:rPr>
          <w:rFonts w:ascii="Times New Roman" w:eastAsia="Times New Roman" w:hAnsi="Times New Roman"/>
          <w:i/>
          <w:sz w:val="24"/>
          <w:lang w:val="en-GB"/>
        </w:rPr>
        <w:t>Intelligence</w:t>
      </w:r>
      <w:r w:rsidRPr="00736446">
        <w:rPr>
          <w:rFonts w:ascii="Times New Roman" w:eastAsia="Times New Roman" w:hAnsi="Times New Roman"/>
          <w:sz w:val="24"/>
          <w:lang w:val="en-GB"/>
        </w:rPr>
        <w:t xml:space="preserve"> devoted to the acquisition of expertise—it is hardly surprising that there is little dialogue between disciplines.</w:t>
      </w:r>
    </w:p>
    <w:p w14:paraId="022ED9F8" w14:textId="77777777" w:rsidR="00E80D55" w:rsidRDefault="00736446" w:rsidP="0073644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eastAsia="Times New Roman" w:hAnsi="Times New Roman"/>
          <w:sz w:val="24"/>
          <w:lang w:val="en-GB"/>
        </w:rPr>
      </w:pPr>
      <w:r w:rsidRPr="00736446">
        <w:rPr>
          <w:rFonts w:ascii="Times New Roman" w:eastAsia="Times New Roman" w:hAnsi="Times New Roman"/>
          <w:sz w:val="24"/>
          <w:lang w:val="en-GB"/>
        </w:rPr>
        <w:t xml:space="preserve">A consequence of this lack of communication between fields is that too much important information is ignored, which can lead to serious mistakes. A striking example is provided by Dreyfus and Dreyfus’s book </w:t>
      </w:r>
      <w:r w:rsidRPr="00736446">
        <w:rPr>
          <w:rFonts w:ascii="Times New Roman" w:eastAsia="Times New Roman" w:hAnsi="Times New Roman"/>
          <w:i/>
          <w:sz w:val="24"/>
          <w:lang w:val="en-GB"/>
        </w:rPr>
        <w:t>Mind over Machine</w:t>
      </w:r>
      <w:r w:rsidRPr="00736446">
        <w:rPr>
          <w:rFonts w:ascii="Times New Roman" w:eastAsia="Times New Roman" w:hAnsi="Times New Roman"/>
          <w:sz w:val="24"/>
          <w:lang w:val="en-GB"/>
        </w:rPr>
        <w:t xml:space="preserve"> </w:t>
      </w:r>
      <w:r w:rsidRPr="00736446">
        <w:rPr>
          <w:rFonts w:ascii="Times New Roman" w:eastAsia="Times New Roman" w:hAnsi="Times New Roman"/>
          <w:noProof/>
          <w:sz w:val="24"/>
          <w:lang w:val="en-GB"/>
        </w:rPr>
        <w:t>(1986)</w:t>
      </w:r>
      <w:r w:rsidRPr="00736446">
        <w:rPr>
          <w:rFonts w:ascii="Times New Roman" w:eastAsia="Times New Roman" w:hAnsi="Times New Roman"/>
          <w:sz w:val="24"/>
          <w:lang w:val="en-GB"/>
        </w:rPr>
        <w:t xml:space="preserve"> and numerous subsequent publications, in which the authors describe their five-stage theory of expertise. They argue that experts do not carry out search nor use analytical thinking. Rather, they act in a pure intuitive way. </w:t>
      </w:r>
    </w:p>
    <w:p w14:paraId="48DC0963" w14:textId="7D069FD6" w:rsidR="00736446" w:rsidRPr="00736446" w:rsidRDefault="00736446" w:rsidP="0073644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eastAsia="Times New Roman" w:hAnsi="Times New Roman"/>
          <w:sz w:val="24"/>
          <w:lang w:val="en-GB"/>
        </w:rPr>
      </w:pPr>
      <w:r w:rsidRPr="00736446">
        <w:rPr>
          <w:rFonts w:ascii="Times New Roman" w:eastAsia="Times New Roman" w:hAnsi="Times New Roman"/>
          <w:sz w:val="24"/>
          <w:lang w:val="en-GB"/>
        </w:rPr>
        <w:t xml:space="preserve">The argument is plausible in </w:t>
      </w:r>
      <w:proofErr w:type="gramStart"/>
      <w:r w:rsidRPr="00736446">
        <w:rPr>
          <w:rFonts w:ascii="Times New Roman" w:eastAsia="Times New Roman" w:hAnsi="Times New Roman"/>
          <w:sz w:val="24"/>
          <w:lang w:val="en-GB"/>
        </w:rPr>
        <w:t>principle, but</w:t>
      </w:r>
      <w:proofErr w:type="gramEnd"/>
      <w:r w:rsidRPr="00736446">
        <w:rPr>
          <w:rFonts w:ascii="Times New Roman" w:eastAsia="Times New Roman" w:hAnsi="Times New Roman"/>
          <w:sz w:val="24"/>
          <w:lang w:val="en-GB"/>
        </w:rPr>
        <w:t xml:space="preserve"> is in fact inconsistent with empirical data. Dreyfus and Dreyfus wholly ignore the considerable body of evidence first collected by De Groot on chess </w:t>
      </w:r>
      <w:r w:rsidRPr="00736446">
        <w:rPr>
          <w:rFonts w:ascii="Times New Roman" w:eastAsia="Times New Roman" w:hAnsi="Times New Roman"/>
          <w:noProof/>
          <w:sz w:val="24"/>
          <w:lang w:val="en-GB"/>
        </w:rPr>
        <w:t>(1946/1978)</w:t>
      </w:r>
      <w:r w:rsidRPr="00736446">
        <w:rPr>
          <w:rFonts w:ascii="Times New Roman" w:eastAsia="Times New Roman" w:hAnsi="Times New Roman"/>
          <w:sz w:val="24"/>
          <w:lang w:val="en-GB"/>
        </w:rPr>
        <w:t xml:space="preserve"> but later replicated and expanded by other researchers showing that experts do in fact carry out considerable amounts of search when necessary. It is an interesting task for historians of science of future generations to explain how such a theory, </w:t>
      </w:r>
      <w:r w:rsidRPr="00736446">
        <w:rPr>
          <w:rFonts w:ascii="Times New Roman" w:eastAsia="Times New Roman" w:hAnsi="Times New Roman"/>
          <w:sz w:val="24"/>
          <w:lang w:val="en-GB"/>
        </w:rPr>
        <w:lastRenderedPageBreak/>
        <w:t>which is at variance with empirical data and indeed common sense, had such an impact in the social sciences and beyond.</w:t>
      </w:r>
    </w:p>
    <w:p w14:paraId="3C60F3E8" w14:textId="326526BB" w:rsidR="00736446" w:rsidRPr="00736446" w:rsidRDefault="00736446" w:rsidP="0073644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eastAsia="Times New Roman" w:hAnsi="Times New Roman"/>
          <w:sz w:val="24"/>
          <w:lang w:val="en-GB"/>
        </w:rPr>
      </w:pPr>
      <w:r w:rsidRPr="00736446">
        <w:rPr>
          <w:rFonts w:ascii="Times New Roman" w:eastAsia="Times New Roman" w:hAnsi="Times New Roman"/>
          <w:sz w:val="24"/>
          <w:lang w:val="en-GB"/>
        </w:rPr>
        <w:t xml:space="preserve">The fragmentation of scientific knowledge about expertise has several additional consequences. First, some research is duplicated, which leads to a waste of resources, </w:t>
      </w:r>
      <w:proofErr w:type="gramStart"/>
      <w:r w:rsidRPr="00736446">
        <w:rPr>
          <w:rFonts w:ascii="Times New Roman" w:eastAsia="Times New Roman" w:hAnsi="Times New Roman"/>
          <w:sz w:val="24"/>
          <w:lang w:val="en-GB"/>
        </w:rPr>
        <w:t>inasmuch as</w:t>
      </w:r>
      <w:proofErr w:type="gramEnd"/>
      <w:r w:rsidRPr="00736446">
        <w:rPr>
          <w:rFonts w:ascii="Times New Roman" w:eastAsia="Times New Roman" w:hAnsi="Times New Roman"/>
          <w:sz w:val="24"/>
          <w:lang w:val="en-GB"/>
        </w:rPr>
        <w:t xml:space="preserve"> this research is not properly cumulated. From a statistical view point, this is tantamount to sampling with replacement—not an efficient approach. Second, as information is not propagated properly across the nodes of the knowledge nexus, there is a tendency to direct most resources toward relatively few questions. For example, psychology has focused much effort on the question of deliberate practice, and philosophy has devoted a considerable amount of resource to the question of knowing-how vs. knowing-that, incidentally mostly ignoring the research in psychology about declarative/procedural knowledge and implicit/explicit knowledge. There is no arguing that these questions are unimportant, but the point is that many other important questions have been neglected.</w:t>
      </w:r>
    </w:p>
    <w:p w14:paraId="6E79D60F" w14:textId="77777777" w:rsidR="00736446" w:rsidRPr="00736446" w:rsidRDefault="00736446" w:rsidP="0073644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eastAsia="Times New Roman" w:hAnsi="Times New Roman"/>
          <w:sz w:val="24"/>
          <w:lang w:val="en-GB"/>
        </w:rPr>
      </w:pPr>
      <w:r w:rsidRPr="00736446">
        <w:rPr>
          <w:rFonts w:ascii="Times New Roman" w:eastAsia="Times New Roman" w:hAnsi="Times New Roman"/>
          <w:sz w:val="24"/>
          <w:lang w:val="en-GB"/>
        </w:rPr>
        <w:t xml:space="preserve">The solution to these issues consists in fostering multi-disciplinary research and cross-fertilization between scientific disciplines. (In the following, I will treat pluri-, inter-, multi-, trans-, and cross- disciplinary research as synonymous.) The idea is obviously to create mutual empowerment where the strengths of each discipline are brought together </w:t>
      </w:r>
      <w:proofErr w:type="gramStart"/>
      <w:r w:rsidRPr="00736446">
        <w:rPr>
          <w:rFonts w:ascii="Times New Roman" w:eastAsia="Times New Roman" w:hAnsi="Times New Roman"/>
          <w:sz w:val="24"/>
          <w:lang w:val="en-GB"/>
        </w:rPr>
        <w:t>in order to</w:t>
      </w:r>
      <w:proofErr w:type="gramEnd"/>
      <w:r w:rsidRPr="00736446">
        <w:rPr>
          <w:rFonts w:ascii="Times New Roman" w:eastAsia="Times New Roman" w:hAnsi="Times New Roman"/>
          <w:sz w:val="24"/>
          <w:lang w:val="en-GB"/>
        </w:rPr>
        <w:t xml:space="preserve"> create a gestalt-like entity which is more than the sum of its parts, as has been recently exemplified in undertakings such as the Human Genome Project. In addition to this ambitious aim, another important contribution of multi-disciplinary research is to show how models of expertise developed in a specific discipline (e.g., psychology) relate to data collected in another discipline (e.g., neuroscience). A concrete example is offered by </w:t>
      </w:r>
      <w:r w:rsidRPr="00736446">
        <w:rPr>
          <w:rFonts w:ascii="Times New Roman" w:eastAsia="Times New Roman" w:hAnsi="Times New Roman"/>
          <w:noProof/>
          <w:sz w:val="24"/>
          <w:lang w:val="en-GB"/>
        </w:rPr>
        <w:t>Guida, Gobet, Tardieu, and Nicolas (2012)</w:t>
      </w:r>
      <w:r w:rsidRPr="00736446">
        <w:rPr>
          <w:rFonts w:ascii="Times New Roman" w:eastAsia="Times New Roman" w:hAnsi="Times New Roman"/>
          <w:sz w:val="24"/>
          <w:lang w:val="en-GB"/>
        </w:rPr>
        <w:t xml:space="preserve">, who showed how the psychological theories of template theory </w:t>
      </w:r>
      <w:r w:rsidRPr="00736446">
        <w:rPr>
          <w:rFonts w:ascii="Times New Roman" w:eastAsia="Times New Roman" w:hAnsi="Times New Roman"/>
          <w:noProof/>
          <w:sz w:val="24"/>
          <w:lang w:val="en-GB"/>
        </w:rPr>
        <w:t>(Gobet &amp; Simon, 1996c)</w:t>
      </w:r>
      <w:r w:rsidRPr="00736446">
        <w:rPr>
          <w:rFonts w:ascii="Times New Roman" w:eastAsia="Times New Roman" w:hAnsi="Times New Roman"/>
          <w:sz w:val="24"/>
          <w:lang w:val="en-GB"/>
        </w:rPr>
        <w:t xml:space="preserve"> and long-term working memory </w:t>
      </w:r>
      <w:r w:rsidRPr="00736446">
        <w:rPr>
          <w:rFonts w:ascii="Times New Roman" w:eastAsia="Times New Roman" w:hAnsi="Times New Roman"/>
          <w:noProof/>
          <w:sz w:val="24"/>
          <w:lang w:val="en-GB"/>
        </w:rPr>
        <w:t>(Ericsson &amp; Kintsch, 1995)</w:t>
      </w:r>
      <w:r w:rsidRPr="00736446">
        <w:rPr>
          <w:rFonts w:ascii="Times New Roman" w:eastAsia="Times New Roman" w:hAnsi="Times New Roman"/>
          <w:sz w:val="24"/>
          <w:lang w:val="en-GB"/>
        </w:rPr>
        <w:t xml:space="preserve"> make correct predictions about brain-imaging data and thus illuminate mechanisms occurring at the </w:t>
      </w:r>
      <w:r w:rsidRPr="00736446">
        <w:rPr>
          <w:rFonts w:ascii="Times New Roman" w:eastAsia="Times New Roman" w:hAnsi="Times New Roman"/>
          <w:sz w:val="24"/>
          <w:lang w:val="en-GB"/>
        </w:rPr>
        <w:t xml:space="preserve">neural level. Identifying the links between mechanisms occurring at different levels of analysis is obviously an important goal of scientific research </w:t>
      </w:r>
      <w:r w:rsidRPr="00736446">
        <w:rPr>
          <w:rFonts w:ascii="Times New Roman" w:eastAsia="Times New Roman" w:hAnsi="Times New Roman"/>
          <w:noProof/>
          <w:sz w:val="24"/>
          <w:lang w:val="en-GB"/>
        </w:rPr>
        <w:t>(e. g., Simon, 1962)</w:t>
      </w:r>
      <w:r w:rsidRPr="00736446">
        <w:rPr>
          <w:rFonts w:ascii="Times New Roman" w:eastAsia="Times New Roman" w:hAnsi="Times New Roman"/>
          <w:sz w:val="24"/>
          <w:lang w:val="en-GB"/>
        </w:rPr>
        <w:t>.</w:t>
      </w:r>
    </w:p>
    <w:p w14:paraId="5315E1ED" w14:textId="5582715A" w:rsidR="00736446" w:rsidRPr="00736446" w:rsidRDefault="00736446" w:rsidP="0073644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eastAsia="Times New Roman" w:hAnsi="Times New Roman"/>
          <w:sz w:val="24"/>
          <w:lang w:val="en-GB"/>
        </w:rPr>
      </w:pPr>
      <w:r w:rsidRPr="00736446">
        <w:rPr>
          <w:rFonts w:ascii="Times New Roman" w:eastAsia="Times New Roman" w:hAnsi="Times New Roman"/>
          <w:sz w:val="24"/>
          <w:lang w:val="en-GB"/>
        </w:rPr>
        <w:t xml:space="preserve">The contributions that diverse disciplines can make to the study of expertise merit some comments. Psychology and neuroscience have a strong experimental tradition and can contribute considerable skills in designing experiments and analysing data. Sociology brings a focus on social issues and expertise in qualitative analysis and analysis of large cohort data. Artificial intelligence provides concepts and algorithms enabling the development of formal and therefore precise theories, which can perform the </w:t>
      </w:r>
      <w:proofErr w:type="spellStart"/>
      <w:r w:rsidRPr="00736446">
        <w:rPr>
          <w:rFonts w:ascii="Times New Roman" w:eastAsia="Times New Roman" w:hAnsi="Times New Roman"/>
          <w:sz w:val="24"/>
          <w:lang w:val="en-GB"/>
        </w:rPr>
        <w:t>behavior</w:t>
      </w:r>
      <w:proofErr w:type="spellEnd"/>
      <w:r w:rsidRPr="00736446">
        <w:rPr>
          <w:rFonts w:ascii="Times New Roman" w:eastAsia="Times New Roman" w:hAnsi="Times New Roman"/>
          <w:sz w:val="24"/>
          <w:lang w:val="en-GB"/>
        </w:rPr>
        <w:t xml:space="preserve"> under study—with obvious possible implications in the case of expertise. Philosophy excels in </w:t>
      </w:r>
      <w:proofErr w:type="spellStart"/>
      <w:r w:rsidRPr="00736446">
        <w:rPr>
          <w:rFonts w:ascii="Times New Roman" w:eastAsia="Times New Roman" w:hAnsi="Times New Roman"/>
          <w:sz w:val="24"/>
          <w:lang w:val="en-GB"/>
        </w:rPr>
        <w:t>analyzing</w:t>
      </w:r>
      <w:proofErr w:type="spellEnd"/>
      <w:r w:rsidRPr="00736446">
        <w:rPr>
          <w:rFonts w:ascii="Times New Roman" w:eastAsia="Times New Roman" w:hAnsi="Times New Roman"/>
          <w:sz w:val="24"/>
          <w:lang w:val="en-GB"/>
        </w:rPr>
        <w:t xml:space="preserve"> concepts and theories, and </w:t>
      </w:r>
      <w:r>
        <w:rPr>
          <w:rFonts w:ascii="Times New Roman" w:eastAsia="Times New Roman" w:hAnsi="Times New Roman"/>
          <w:sz w:val="24"/>
          <w:lang w:val="en-GB"/>
        </w:rPr>
        <w:t xml:space="preserve">it </w:t>
      </w:r>
      <w:r w:rsidRPr="00736446">
        <w:rPr>
          <w:rFonts w:ascii="Times New Roman" w:eastAsia="Times New Roman" w:hAnsi="Times New Roman"/>
          <w:sz w:val="24"/>
          <w:lang w:val="en-GB"/>
        </w:rPr>
        <w:t>can also contribute to powerful formalisms such as those based on logic.</w:t>
      </w:r>
    </w:p>
    <w:p w14:paraId="09893145" w14:textId="77777777" w:rsidR="00736446" w:rsidRPr="00736446" w:rsidRDefault="00736446" w:rsidP="0073644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eastAsia="Times New Roman" w:hAnsi="Times New Roman"/>
          <w:sz w:val="24"/>
          <w:lang w:val="en-GB"/>
        </w:rPr>
      </w:pPr>
      <w:r w:rsidRPr="00736446">
        <w:rPr>
          <w:rFonts w:ascii="Times New Roman" w:eastAsia="Times New Roman" w:hAnsi="Times New Roman"/>
          <w:sz w:val="24"/>
          <w:lang w:val="en-GB"/>
        </w:rPr>
        <w:t xml:space="preserve">It is my belief that a multi-disciplinary approach offers the only way to reach a full understanding of expertise, not only theoretically but also with respect to practical applications (e.g., for experts’ training and more generally education). Researchers from various disciplines will have to relinquish, at least temporarily, the </w:t>
      </w:r>
      <w:proofErr w:type="spellStart"/>
      <w:r w:rsidRPr="00736446">
        <w:rPr>
          <w:rFonts w:ascii="Times New Roman" w:eastAsia="Times New Roman" w:hAnsi="Times New Roman"/>
          <w:sz w:val="24"/>
          <w:lang w:val="en-GB"/>
        </w:rPr>
        <w:t>coziness</w:t>
      </w:r>
      <w:proofErr w:type="spellEnd"/>
      <w:r w:rsidRPr="00736446">
        <w:rPr>
          <w:rFonts w:ascii="Times New Roman" w:eastAsia="Times New Roman" w:hAnsi="Times New Roman"/>
          <w:sz w:val="24"/>
          <w:lang w:val="en-GB"/>
        </w:rPr>
        <w:t xml:space="preserve"> of their disciplines </w:t>
      </w:r>
      <w:proofErr w:type="gramStart"/>
      <w:r w:rsidRPr="00736446">
        <w:rPr>
          <w:rFonts w:ascii="Times New Roman" w:eastAsia="Times New Roman" w:hAnsi="Times New Roman"/>
          <w:sz w:val="24"/>
          <w:lang w:val="en-GB"/>
        </w:rPr>
        <w:t>in order to</w:t>
      </w:r>
      <w:proofErr w:type="gramEnd"/>
      <w:r w:rsidRPr="00736446">
        <w:rPr>
          <w:rFonts w:ascii="Times New Roman" w:eastAsia="Times New Roman" w:hAnsi="Times New Roman"/>
          <w:sz w:val="24"/>
          <w:lang w:val="en-GB"/>
        </w:rPr>
        <w:t xml:space="preserve"> enter a dialogue with colleagues from other fields. In the extreme case, a new field may be created. At this stage, it is not possible to predict what the outcome of such an enterprise would be, as no research on expertise has so far been truly interdisciplinary. However, it is certain that it will highlight parallels but also differences between the individual disciplines, and that it will pinpoint contradictions between theories.</w:t>
      </w:r>
    </w:p>
    <w:p w14:paraId="479D8FC2" w14:textId="77777777" w:rsidR="00736446" w:rsidRDefault="00736446" w:rsidP="00736446">
      <w:pPr>
        <w:spacing w:after="120" w:line="240" w:lineRule="auto"/>
        <w:rPr>
          <w:rFonts w:ascii="Arial" w:hAnsi="Arial" w:cs="Arial"/>
          <w:b/>
          <w:sz w:val="24"/>
          <w:szCs w:val="24"/>
        </w:rPr>
      </w:pPr>
    </w:p>
    <w:p w14:paraId="40593F1F" w14:textId="4B18D050" w:rsidR="00736446" w:rsidRDefault="00736446" w:rsidP="00736446">
      <w:pPr>
        <w:spacing w:after="120" w:line="240" w:lineRule="auto"/>
        <w:rPr>
          <w:rFonts w:ascii="Arial" w:hAnsi="Arial" w:cs="Arial"/>
          <w:b/>
          <w:sz w:val="24"/>
          <w:szCs w:val="24"/>
        </w:rPr>
      </w:pPr>
      <w:r>
        <w:rPr>
          <w:rFonts w:ascii="Arial" w:hAnsi="Arial" w:cs="Arial"/>
          <w:b/>
          <w:sz w:val="24"/>
          <w:szCs w:val="24"/>
        </w:rPr>
        <w:t>The Importance of Using Formal Methods</w:t>
      </w:r>
    </w:p>
    <w:p w14:paraId="33977B25" w14:textId="579D61BF" w:rsidR="00736446" w:rsidRPr="00736446" w:rsidRDefault="00736446" w:rsidP="00736446">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eastAsia="Times New Roman" w:hAnsi="Times New Roman"/>
          <w:sz w:val="24"/>
          <w:lang w:val="en-GB"/>
        </w:rPr>
      </w:pPr>
      <w:r w:rsidRPr="00736446">
        <w:rPr>
          <w:rFonts w:ascii="Times New Roman" w:eastAsia="Times New Roman" w:hAnsi="Times New Roman"/>
          <w:sz w:val="24"/>
          <w:lang w:val="en-GB"/>
        </w:rPr>
        <w:t xml:space="preserve">Due to the complexity of expertise, it is almost certain that formal </w:t>
      </w:r>
      <w:proofErr w:type="spellStart"/>
      <w:r w:rsidRPr="00736446">
        <w:rPr>
          <w:rFonts w:ascii="Times New Roman" w:eastAsia="Times New Roman" w:hAnsi="Times New Roman"/>
          <w:sz w:val="24"/>
          <w:lang w:val="en-GB"/>
        </w:rPr>
        <w:t>modeling</w:t>
      </w:r>
      <w:proofErr w:type="spellEnd"/>
      <w:r w:rsidRPr="00736446">
        <w:rPr>
          <w:rFonts w:ascii="Times New Roman" w:eastAsia="Times New Roman" w:hAnsi="Times New Roman"/>
          <w:sz w:val="24"/>
          <w:lang w:val="en-GB"/>
        </w:rPr>
        <w:t xml:space="preserve"> (both mathematical and computational) will play an important role. This complexity is produced by several factors, including at the very least the following: cognitive mechanisms occurring in parallel; necessity to adopt different levels of analysis </w:t>
      </w:r>
      <w:r w:rsidRPr="00736446">
        <w:rPr>
          <w:rFonts w:ascii="Times New Roman" w:eastAsia="Times New Roman" w:hAnsi="Times New Roman"/>
          <w:sz w:val="24"/>
          <w:lang w:val="en-GB"/>
        </w:rPr>
        <w:lastRenderedPageBreak/>
        <w:t xml:space="preserve">(e.g., micro-mechanisms with working memory, macro-mechanisms with planning); necessity to consider different time scales (from </w:t>
      </w:r>
      <w:r w:rsidR="00476035">
        <w:rPr>
          <w:rFonts w:ascii="Times New Roman" w:eastAsia="Times New Roman" w:hAnsi="Times New Roman"/>
          <w:sz w:val="24"/>
          <w:lang w:val="en-GB"/>
        </w:rPr>
        <w:t>milliseconds</w:t>
      </w:r>
      <w:r w:rsidRPr="00736446">
        <w:rPr>
          <w:rFonts w:ascii="Times New Roman" w:eastAsia="Times New Roman" w:hAnsi="Times New Roman"/>
          <w:sz w:val="24"/>
          <w:lang w:val="en-GB"/>
        </w:rPr>
        <w:t xml:space="preserve"> to years); and necessity to factor in the environment in which experts develop and perform </w:t>
      </w:r>
      <w:r w:rsidRPr="00736446">
        <w:rPr>
          <w:rFonts w:ascii="Times New Roman" w:eastAsia="Times New Roman" w:hAnsi="Times New Roman"/>
          <w:noProof/>
          <w:sz w:val="24"/>
          <w:lang w:val="en-GB"/>
        </w:rPr>
        <w:t>(e.g., Gobet, 2016; Gobet, Lloyd-Kelly, &amp; Lane, 2018)</w:t>
      </w:r>
      <w:r w:rsidRPr="00736446">
        <w:rPr>
          <w:rFonts w:ascii="Times New Roman" w:eastAsia="Times New Roman" w:hAnsi="Times New Roman"/>
          <w:sz w:val="24"/>
          <w:lang w:val="en-GB"/>
        </w:rPr>
        <w:t xml:space="preserve">. The importance of the environment can be seen by the fact that experts in different fields meet vastly different demands, from knowledge in science to endurance or speed in sports to emotions in the arts. In addition, the mechanisms underpinning expertise include feedback loops, interact in nonlinear ways and often evolve as a function of time. </w:t>
      </w:r>
    </w:p>
    <w:p w14:paraId="555C04B2" w14:textId="781CBEA7" w:rsidR="00736446" w:rsidRPr="00736446" w:rsidRDefault="00736446" w:rsidP="0073644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eastAsia="Times New Roman" w:hAnsi="Times New Roman"/>
          <w:sz w:val="24"/>
          <w:lang w:val="en-GB" w:eastAsia="en-GB"/>
        </w:rPr>
      </w:pPr>
      <w:r w:rsidRPr="00736446">
        <w:rPr>
          <w:rFonts w:ascii="Times New Roman" w:eastAsia="Times New Roman" w:hAnsi="Times New Roman"/>
          <w:sz w:val="24"/>
          <w:lang w:val="en-GB"/>
        </w:rPr>
        <w:t xml:space="preserve">When the task is to develop precise and testable scientific theories, the most efficient way to deal with this complexity is to use computational </w:t>
      </w:r>
      <w:proofErr w:type="spellStart"/>
      <w:r w:rsidRPr="00736446">
        <w:rPr>
          <w:rFonts w:ascii="Times New Roman" w:eastAsia="Times New Roman" w:hAnsi="Times New Roman"/>
          <w:sz w:val="24"/>
          <w:lang w:val="en-GB"/>
        </w:rPr>
        <w:t>modeling</w:t>
      </w:r>
      <w:proofErr w:type="spellEnd"/>
      <w:r w:rsidRPr="00736446">
        <w:rPr>
          <w:rFonts w:ascii="Times New Roman" w:eastAsia="Times New Roman" w:hAnsi="Times New Roman"/>
          <w:sz w:val="24"/>
          <w:lang w:val="en-GB"/>
        </w:rPr>
        <w:t xml:space="preserve">, which offers several advantages over other formal and non-formal approaches, at the very least including the following: </w:t>
      </w:r>
      <w:r w:rsidRPr="00736446">
        <w:rPr>
          <w:rFonts w:ascii="Times New Roman" w:eastAsia="Times New Roman" w:hAnsi="Times New Roman"/>
          <w:sz w:val="24"/>
          <w:lang w:val="en-GB" w:eastAsia="en-GB"/>
        </w:rPr>
        <w:t>rigorous specif</w:t>
      </w:r>
      <w:r w:rsidRPr="00736446">
        <w:rPr>
          <w:rFonts w:ascii="Times New Roman" w:eastAsia="Times New Roman" w:hAnsi="Times New Roman"/>
          <w:sz w:val="24"/>
          <w:lang w:val="en-GB"/>
        </w:rPr>
        <w:t xml:space="preserve">ication of theories, </w:t>
      </w:r>
      <w:r w:rsidRPr="00736446">
        <w:rPr>
          <w:rFonts w:ascii="Times New Roman" w:eastAsia="Times New Roman" w:hAnsi="Times New Roman"/>
          <w:sz w:val="24"/>
          <w:lang w:val="en-GB" w:eastAsia="en-GB"/>
        </w:rPr>
        <w:t xml:space="preserve">testable predictions, sufficiency of theories (i.e., ability to carry out the </w:t>
      </w:r>
      <w:proofErr w:type="spellStart"/>
      <w:r w:rsidRPr="00736446">
        <w:rPr>
          <w:rFonts w:ascii="Times New Roman" w:eastAsia="Times New Roman" w:hAnsi="Times New Roman"/>
          <w:sz w:val="24"/>
          <w:lang w:val="en-GB" w:eastAsia="en-GB"/>
        </w:rPr>
        <w:t>behavior</w:t>
      </w:r>
      <w:proofErr w:type="spellEnd"/>
      <w:r w:rsidRPr="00736446">
        <w:rPr>
          <w:rFonts w:ascii="Times New Roman" w:eastAsia="Times New Roman" w:hAnsi="Times New Roman"/>
          <w:sz w:val="24"/>
          <w:lang w:val="en-GB" w:eastAsia="en-GB"/>
        </w:rPr>
        <w:t xml:space="preserve"> under study) and possibility to understand the interactions between several variables </w:t>
      </w:r>
      <w:r w:rsidRPr="00736446">
        <w:rPr>
          <w:rFonts w:ascii="Times New Roman" w:eastAsia="Times New Roman" w:hAnsi="Times New Roman"/>
          <w:noProof/>
          <w:sz w:val="24"/>
          <w:lang w:val="en-GB"/>
        </w:rPr>
        <w:t>(Gobet, in press; Gobet et al., 2018; Lane &amp; Gobet, 2012; Newell &amp; Simon, 1972)</w:t>
      </w:r>
      <w:r w:rsidRPr="00736446">
        <w:rPr>
          <w:rFonts w:ascii="Times New Roman" w:eastAsia="Times New Roman" w:hAnsi="Times New Roman"/>
          <w:sz w:val="24"/>
          <w:lang w:val="en-GB" w:eastAsia="en-GB"/>
        </w:rPr>
        <w:t xml:space="preserve">. Another advantage is that computational </w:t>
      </w:r>
      <w:proofErr w:type="spellStart"/>
      <w:r w:rsidRPr="00736446">
        <w:rPr>
          <w:rFonts w:ascii="Times New Roman" w:eastAsia="Times New Roman" w:hAnsi="Times New Roman"/>
          <w:sz w:val="24"/>
          <w:lang w:val="en-GB" w:eastAsia="en-GB"/>
        </w:rPr>
        <w:t>modeling</w:t>
      </w:r>
      <w:proofErr w:type="spellEnd"/>
      <w:r w:rsidRPr="00736446">
        <w:rPr>
          <w:rFonts w:ascii="Times New Roman" w:eastAsia="Times New Roman" w:hAnsi="Times New Roman"/>
          <w:sz w:val="24"/>
          <w:lang w:val="en-GB" w:eastAsia="en-GB"/>
        </w:rPr>
        <w:t xml:space="preserve"> makes it possible to study the role of </w:t>
      </w:r>
      <w:r w:rsidRPr="00736446">
        <w:rPr>
          <w:rFonts w:ascii="Times New Roman" w:eastAsia="Times New Roman" w:hAnsi="Times New Roman"/>
          <w:sz w:val="24"/>
          <w:lang w:val="en-GB"/>
        </w:rPr>
        <w:t xml:space="preserve">the environment, sometimes together with more mathematical techniques </w:t>
      </w:r>
      <w:r w:rsidRPr="00736446">
        <w:rPr>
          <w:rFonts w:ascii="Times New Roman" w:eastAsia="Times New Roman" w:hAnsi="Times New Roman"/>
          <w:noProof/>
          <w:sz w:val="24"/>
          <w:lang w:val="en-GB"/>
        </w:rPr>
        <w:t>(De Groot &amp; Gobet, 1996; Simon &amp; Gilmartin, 1973)</w:t>
      </w:r>
      <w:r w:rsidRPr="00736446">
        <w:rPr>
          <w:rFonts w:ascii="Times New Roman" w:eastAsia="Times New Roman" w:hAnsi="Times New Roman"/>
          <w:sz w:val="24"/>
          <w:lang w:val="en-GB"/>
        </w:rPr>
        <w:t xml:space="preserve">. A good example of this is offered by research into the acquisition of first language, which </w:t>
      </w:r>
      <w:proofErr w:type="gramStart"/>
      <w:r w:rsidRPr="00736446">
        <w:rPr>
          <w:rFonts w:ascii="Times New Roman" w:eastAsia="Times New Roman" w:hAnsi="Times New Roman"/>
          <w:sz w:val="24"/>
          <w:lang w:val="en-GB"/>
        </w:rPr>
        <w:t>can be seen as</w:t>
      </w:r>
      <w:proofErr w:type="gramEnd"/>
      <w:r w:rsidRPr="00736446">
        <w:rPr>
          <w:rFonts w:ascii="Times New Roman" w:eastAsia="Times New Roman" w:hAnsi="Times New Roman"/>
          <w:sz w:val="24"/>
          <w:lang w:val="en-GB"/>
        </w:rPr>
        <w:t xml:space="preserve"> a kind of expertise. For example, </w:t>
      </w:r>
      <w:proofErr w:type="spellStart"/>
      <w:r w:rsidRPr="00736446">
        <w:rPr>
          <w:rFonts w:ascii="Times New Roman" w:eastAsia="Times New Roman" w:hAnsi="Times New Roman"/>
          <w:sz w:val="24"/>
          <w:lang w:val="en-GB"/>
        </w:rPr>
        <w:t>Freudenthal</w:t>
      </w:r>
      <w:proofErr w:type="spellEnd"/>
      <w:r w:rsidRPr="00736446">
        <w:rPr>
          <w:rFonts w:ascii="Times New Roman" w:eastAsia="Times New Roman" w:hAnsi="Times New Roman"/>
          <w:sz w:val="24"/>
          <w:lang w:val="en-GB"/>
        </w:rPr>
        <w:t xml:space="preserve">, Pine and </w:t>
      </w:r>
      <w:proofErr w:type="spellStart"/>
      <w:r w:rsidRPr="00736446">
        <w:rPr>
          <w:rFonts w:ascii="Times New Roman" w:eastAsia="Times New Roman" w:hAnsi="Times New Roman"/>
          <w:sz w:val="24"/>
          <w:lang w:val="en-GB"/>
        </w:rPr>
        <w:t>Gobet</w:t>
      </w:r>
      <w:proofErr w:type="spellEnd"/>
      <w:r w:rsidRPr="00736446">
        <w:rPr>
          <w:rFonts w:ascii="Times New Roman" w:eastAsia="Times New Roman" w:hAnsi="Times New Roman"/>
          <w:sz w:val="24"/>
          <w:lang w:val="en-GB"/>
        </w:rPr>
        <w:t xml:space="preserve"> </w:t>
      </w:r>
      <w:r w:rsidRPr="00736446">
        <w:rPr>
          <w:rFonts w:ascii="Times New Roman" w:eastAsia="Times New Roman" w:hAnsi="Times New Roman"/>
          <w:noProof/>
          <w:sz w:val="24"/>
          <w:lang w:val="en-GB"/>
        </w:rPr>
        <w:t>(2009)</w:t>
      </w:r>
      <w:r w:rsidRPr="00736446">
        <w:rPr>
          <w:rFonts w:ascii="Times New Roman" w:eastAsia="Times New Roman" w:hAnsi="Times New Roman"/>
          <w:sz w:val="24"/>
          <w:lang w:val="en-GB"/>
        </w:rPr>
        <w:t xml:space="preserve"> showed that small differences in the characteristics of child-directed speech in German, Dutch, and English led to subtle but clear differences in children’s speech, such as the fact that in Dutch and German root infinitives tend to refer to actions more than static situations.</w:t>
      </w:r>
    </w:p>
    <w:p w14:paraId="462CFABA" w14:textId="01CB0395" w:rsidR="00736446" w:rsidRPr="00736446" w:rsidRDefault="00736446" w:rsidP="0073644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eastAsia="Times New Roman" w:hAnsi="Times New Roman"/>
          <w:sz w:val="24"/>
          <w:lang w:val="en-GB"/>
        </w:rPr>
      </w:pPr>
      <w:r w:rsidRPr="00736446">
        <w:rPr>
          <w:rFonts w:ascii="Times New Roman" w:eastAsia="Times New Roman" w:hAnsi="Times New Roman"/>
          <w:sz w:val="24"/>
          <w:lang w:val="en-GB"/>
        </w:rPr>
        <w:t xml:space="preserve">Importantly, computational </w:t>
      </w:r>
      <w:proofErr w:type="spellStart"/>
      <w:r w:rsidRPr="00736446">
        <w:rPr>
          <w:rFonts w:ascii="Times New Roman" w:eastAsia="Times New Roman" w:hAnsi="Times New Roman"/>
          <w:sz w:val="24"/>
          <w:lang w:val="en-GB"/>
        </w:rPr>
        <w:t>modeling</w:t>
      </w:r>
      <w:proofErr w:type="spellEnd"/>
      <w:r w:rsidRPr="00736446">
        <w:rPr>
          <w:rFonts w:ascii="Times New Roman" w:eastAsia="Times New Roman" w:hAnsi="Times New Roman"/>
          <w:sz w:val="24"/>
          <w:lang w:val="en-GB"/>
        </w:rPr>
        <w:t xml:space="preserve"> can make new predictions that lead to theoretical re-evaluations. For example, the CHREST model developed by </w:t>
      </w:r>
      <w:proofErr w:type="spellStart"/>
      <w:r w:rsidRPr="00736446">
        <w:rPr>
          <w:rFonts w:ascii="Times New Roman" w:eastAsia="Times New Roman" w:hAnsi="Times New Roman"/>
          <w:sz w:val="24"/>
          <w:lang w:val="en-GB"/>
        </w:rPr>
        <w:t>Gobet</w:t>
      </w:r>
      <w:proofErr w:type="spellEnd"/>
      <w:r w:rsidRPr="00736446">
        <w:rPr>
          <w:rFonts w:ascii="Times New Roman" w:eastAsia="Times New Roman" w:hAnsi="Times New Roman"/>
          <w:sz w:val="24"/>
          <w:lang w:val="en-GB"/>
        </w:rPr>
        <w:t xml:space="preserve"> and Simon </w:t>
      </w:r>
      <w:r w:rsidRPr="00736446">
        <w:rPr>
          <w:rFonts w:ascii="Times New Roman" w:eastAsia="Times New Roman" w:hAnsi="Times New Roman"/>
          <w:noProof/>
          <w:sz w:val="24"/>
          <w:lang w:val="en-GB"/>
        </w:rPr>
        <w:t>(1996a)</w:t>
      </w:r>
      <w:r w:rsidRPr="00736446">
        <w:rPr>
          <w:rFonts w:ascii="Times New Roman" w:eastAsia="Times New Roman" w:hAnsi="Times New Roman"/>
          <w:sz w:val="24"/>
          <w:lang w:val="en-GB"/>
        </w:rPr>
        <w:t xml:space="preserve"> predicted that, contrary to the received wisdom at the time, experts should be superior to non-</w:t>
      </w:r>
      <w:r w:rsidRPr="00736446">
        <w:rPr>
          <w:rFonts w:ascii="Times New Roman" w:eastAsia="Times New Roman" w:hAnsi="Times New Roman"/>
          <w:sz w:val="24"/>
          <w:lang w:val="en-GB"/>
        </w:rPr>
        <w:t xml:space="preserve">experts not only with domain-specific meaningful material, but also with domain-specific random material. This prediction was originally supported by a re-analysis of the experiments carried out with chess </w:t>
      </w:r>
      <w:r w:rsidRPr="00736446">
        <w:rPr>
          <w:rFonts w:ascii="Times New Roman" w:eastAsia="Times New Roman" w:hAnsi="Times New Roman"/>
          <w:noProof/>
          <w:sz w:val="24"/>
          <w:lang w:val="en-GB"/>
        </w:rPr>
        <w:t>(Gobet &amp; Simon, 1996b)</w:t>
      </w:r>
      <w:r w:rsidRPr="00736446">
        <w:rPr>
          <w:rFonts w:ascii="Times New Roman" w:eastAsia="Times New Roman" w:hAnsi="Times New Roman"/>
          <w:sz w:val="24"/>
          <w:lang w:val="en-GB"/>
        </w:rPr>
        <w:t xml:space="preserve"> and more recently with a meta-analysis that examined memory recall in all relevant domains of expertise </w:t>
      </w:r>
      <w:r w:rsidRPr="00736446">
        <w:rPr>
          <w:rFonts w:ascii="Times New Roman" w:eastAsia="Times New Roman" w:hAnsi="Times New Roman"/>
          <w:noProof/>
          <w:sz w:val="24"/>
          <w:lang w:val="en-GB"/>
        </w:rPr>
        <w:t>(Sala &amp; Gobet, 2017)</w:t>
      </w:r>
      <w:r w:rsidRPr="00736446">
        <w:rPr>
          <w:rFonts w:ascii="Times New Roman" w:eastAsia="Times New Roman" w:hAnsi="Times New Roman"/>
          <w:sz w:val="24"/>
          <w:lang w:val="en-GB"/>
        </w:rPr>
        <w:t>.</w:t>
      </w:r>
    </w:p>
    <w:p w14:paraId="3E0A7F5B" w14:textId="77777777" w:rsidR="00736446" w:rsidRDefault="00736446" w:rsidP="00736446">
      <w:pPr>
        <w:spacing w:after="120" w:line="240" w:lineRule="auto"/>
        <w:rPr>
          <w:rFonts w:ascii="Arial" w:hAnsi="Arial" w:cs="Arial"/>
          <w:b/>
          <w:sz w:val="24"/>
          <w:szCs w:val="24"/>
        </w:rPr>
      </w:pPr>
    </w:p>
    <w:p w14:paraId="44849478" w14:textId="761669B3" w:rsidR="00A157FF" w:rsidRDefault="00A157FF" w:rsidP="00A157FF">
      <w:pPr>
        <w:spacing w:after="120" w:line="240" w:lineRule="auto"/>
        <w:rPr>
          <w:rFonts w:ascii="Arial" w:hAnsi="Arial" w:cs="Arial"/>
          <w:b/>
          <w:sz w:val="24"/>
          <w:szCs w:val="24"/>
        </w:rPr>
      </w:pPr>
      <w:r>
        <w:rPr>
          <w:rFonts w:ascii="Arial" w:hAnsi="Arial" w:cs="Arial"/>
          <w:b/>
          <w:sz w:val="24"/>
          <w:szCs w:val="24"/>
        </w:rPr>
        <w:t>Some Hurdles</w:t>
      </w:r>
    </w:p>
    <w:p w14:paraId="13291E9B" w14:textId="77777777" w:rsidR="00A157FF" w:rsidRPr="00A157FF" w:rsidRDefault="00A157FF" w:rsidP="00A157FF">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eastAsia="Times New Roman" w:hAnsi="Times New Roman"/>
          <w:sz w:val="24"/>
          <w:lang w:val="en-GB"/>
        </w:rPr>
      </w:pPr>
      <w:r w:rsidRPr="00A157FF">
        <w:rPr>
          <w:rFonts w:ascii="Times New Roman" w:eastAsia="Times New Roman" w:hAnsi="Times New Roman"/>
          <w:sz w:val="24"/>
          <w:lang w:val="en-GB"/>
        </w:rPr>
        <w:t xml:space="preserve">While the prospects of a multidisciplinary research on expertise are appealing, it should be acknowledged that this kind of research is not easy to carry out. Organizational structures, specialist terminologies, traditions, loyalties, and mental sets due to training mean that scientists often eschew such collaborative work. In addition, even if multidisciplinary collaboration is initiated, the problems of communication between different disciplines are considerable </w:t>
      </w:r>
      <w:r w:rsidRPr="00A157FF">
        <w:rPr>
          <w:rFonts w:ascii="Times New Roman" w:eastAsia="Times New Roman" w:hAnsi="Times New Roman"/>
          <w:noProof/>
          <w:sz w:val="24"/>
          <w:lang w:val="en-GB"/>
        </w:rPr>
        <w:t>(Luhmann, 1995; Okada &amp; Simon, 1997)</w:t>
      </w:r>
      <w:r w:rsidRPr="00A157FF">
        <w:rPr>
          <w:rFonts w:ascii="Times New Roman" w:eastAsia="Times New Roman" w:hAnsi="Times New Roman"/>
          <w:sz w:val="24"/>
          <w:lang w:val="en-GB"/>
        </w:rPr>
        <w:t xml:space="preserve">. Miscommunication is not always blatant and can be insidious. Even when participants believe that they understand a specific term (e.g., “rationality”), it frequently turns out that different members use that term with different meanings and epistemological connotations. In practice, it is often the case that at least one member of the multidisciplinary group should be an expert in several fields. But the danger, then, is that this person will assume leadership and impose the theoretical and methodological assumptions of her or his original field. </w:t>
      </w:r>
    </w:p>
    <w:p w14:paraId="4020F711" w14:textId="77777777" w:rsidR="00E80D55" w:rsidRDefault="00E80D55" w:rsidP="00E80D55">
      <w:pPr>
        <w:spacing w:after="120" w:line="240" w:lineRule="auto"/>
        <w:rPr>
          <w:rFonts w:ascii="Arial" w:hAnsi="Arial" w:cs="Arial"/>
          <w:b/>
          <w:sz w:val="24"/>
          <w:szCs w:val="24"/>
        </w:rPr>
      </w:pPr>
    </w:p>
    <w:p w14:paraId="53045F1D" w14:textId="04D3F237" w:rsidR="00E80D55" w:rsidRDefault="00E80D55" w:rsidP="00E80D55">
      <w:pPr>
        <w:spacing w:after="120" w:line="240" w:lineRule="auto"/>
        <w:rPr>
          <w:rFonts w:ascii="Arial" w:hAnsi="Arial" w:cs="Arial"/>
          <w:b/>
          <w:sz w:val="24"/>
          <w:szCs w:val="24"/>
        </w:rPr>
      </w:pPr>
      <w:r>
        <w:rPr>
          <w:rFonts w:ascii="Arial" w:hAnsi="Arial" w:cs="Arial"/>
          <w:b/>
          <w:sz w:val="24"/>
          <w:szCs w:val="24"/>
        </w:rPr>
        <w:t>Conclusion</w:t>
      </w:r>
    </w:p>
    <w:p w14:paraId="16CE224D" w14:textId="77777777" w:rsidR="00E80D55" w:rsidRPr="00E80D55" w:rsidRDefault="00E80D55" w:rsidP="00E80D55">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eastAsia="Times New Roman" w:hAnsi="Times New Roman"/>
          <w:sz w:val="24"/>
          <w:lang w:val="en-GB"/>
        </w:rPr>
      </w:pPr>
      <w:r w:rsidRPr="00E80D55">
        <w:rPr>
          <w:rFonts w:ascii="Times New Roman" w:eastAsia="Times New Roman" w:hAnsi="Times New Roman"/>
          <w:sz w:val="24"/>
          <w:lang w:val="en-GB"/>
        </w:rPr>
        <w:t xml:space="preserve">Starting from the observation that many different disciplines study expertise, this article has argued that the current state of research into expertise is problematic as knowledge is currently fragmented and communication between disciplines is poor. The way forward for the field of expertise is to join forces and carry out multi-disciplinary research. This is probably a difficult </w:t>
      </w:r>
      <w:proofErr w:type="spellStart"/>
      <w:r w:rsidRPr="00E80D55">
        <w:rPr>
          <w:rFonts w:ascii="Times New Roman" w:eastAsia="Times New Roman" w:hAnsi="Times New Roman"/>
          <w:sz w:val="24"/>
          <w:lang w:val="en-GB"/>
        </w:rPr>
        <w:t>endeavor</w:t>
      </w:r>
      <w:proofErr w:type="spellEnd"/>
      <w:r w:rsidRPr="00E80D55">
        <w:rPr>
          <w:rFonts w:ascii="Times New Roman" w:eastAsia="Times New Roman" w:hAnsi="Times New Roman"/>
          <w:sz w:val="24"/>
          <w:lang w:val="en-GB"/>
        </w:rPr>
        <w:t xml:space="preserve">, but it is potentially a very fruitful one. While the process is likely to be uncomfortable and even painful, it </w:t>
      </w:r>
      <w:r w:rsidRPr="00E80D55">
        <w:rPr>
          <w:rFonts w:ascii="Times New Roman" w:eastAsia="Times New Roman" w:hAnsi="Times New Roman"/>
          <w:sz w:val="24"/>
          <w:lang w:val="en-GB"/>
        </w:rPr>
        <w:lastRenderedPageBreak/>
        <w:t xml:space="preserve">offers the prospect of interesting insights, more understanding within each discipline, and the development of a general theory of expertise. </w:t>
      </w:r>
    </w:p>
    <w:p w14:paraId="32A52CBE" w14:textId="77777777" w:rsidR="0072128F" w:rsidRPr="001B7841" w:rsidRDefault="0072128F" w:rsidP="001D7495">
      <w:pPr>
        <w:spacing w:after="120" w:line="240" w:lineRule="auto"/>
        <w:rPr>
          <w:rFonts w:ascii="Arial" w:hAnsi="Arial" w:cs="Arial"/>
          <w:b/>
          <w:sz w:val="24"/>
          <w:szCs w:val="24"/>
        </w:rPr>
      </w:pPr>
    </w:p>
    <w:p w14:paraId="029A9C93" w14:textId="05C520BE" w:rsidR="00352A18" w:rsidRPr="004A760C" w:rsidRDefault="00352A18" w:rsidP="000E4CCF">
      <w:pPr>
        <w:spacing w:after="120" w:line="240" w:lineRule="auto"/>
        <w:rPr>
          <w:rFonts w:ascii="Arial" w:hAnsi="Arial" w:cs="Arial"/>
          <w:b/>
          <w:color w:val="080808"/>
          <w:sz w:val="24"/>
          <w:szCs w:val="24"/>
        </w:rPr>
      </w:pPr>
      <w:r w:rsidRPr="004A760C">
        <w:rPr>
          <w:rFonts w:ascii="Arial" w:hAnsi="Arial" w:cs="Arial"/>
          <w:b/>
          <w:color w:val="080808"/>
          <w:sz w:val="24"/>
          <w:szCs w:val="24"/>
        </w:rPr>
        <w:t>Author</w:t>
      </w:r>
      <w:r w:rsidR="006D6D04">
        <w:rPr>
          <w:rFonts w:ascii="Arial" w:hAnsi="Arial" w:cs="Arial"/>
          <w:b/>
          <w:color w:val="080808"/>
          <w:sz w:val="24"/>
          <w:szCs w:val="24"/>
        </w:rPr>
        <w:t>’s</w:t>
      </w:r>
      <w:r w:rsidRPr="004A760C">
        <w:rPr>
          <w:rFonts w:ascii="Arial" w:hAnsi="Arial" w:cs="Arial"/>
          <w:b/>
          <w:color w:val="080808"/>
          <w:sz w:val="24"/>
          <w:szCs w:val="24"/>
        </w:rPr>
        <w:t xml:space="preserve"> Declaration</w:t>
      </w:r>
      <w:r w:rsidR="00E43684">
        <w:rPr>
          <w:rFonts w:ascii="Arial" w:hAnsi="Arial" w:cs="Arial"/>
          <w:b/>
          <w:color w:val="080808"/>
          <w:sz w:val="24"/>
          <w:szCs w:val="24"/>
        </w:rPr>
        <w:t xml:space="preserve"> </w:t>
      </w:r>
    </w:p>
    <w:p w14:paraId="00755A98" w14:textId="14069839" w:rsidR="00352A18" w:rsidRPr="004A760C" w:rsidRDefault="00352A18" w:rsidP="004A760C">
      <w:pPr>
        <w:spacing w:after="120" w:line="240" w:lineRule="auto"/>
        <w:rPr>
          <w:rFonts w:ascii="Times New Roman" w:hAnsi="Times New Roman" w:cs="Times New Roman"/>
          <w:color w:val="080808"/>
          <w:sz w:val="24"/>
          <w:szCs w:val="24"/>
        </w:rPr>
      </w:pPr>
      <w:r w:rsidRPr="004A760C">
        <w:rPr>
          <w:rFonts w:ascii="Times New Roman" w:hAnsi="Times New Roman" w:cs="Times New Roman"/>
          <w:color w:val="080808"/>
          <w:sz w:val="24"/>
          <w:szCs w:val="24"/>
        </w:rPr>
        <w:t>The author</w:t>
      </w:r>
      <w:r w:rsidR="006920EE">
        <w:rPr>
          <w:rFonts w:ascii="Times New Roman" w:hAnsi="Times New Roman" w:cs="Times New Roman"/>
          <w:color w:val="080808"/>
          <w:sz w:val="24"/>
          <w:szCs w:val="24"/>
        </w:rPr>
        <w:t xml:space="preserve"> </w:t>
      </w:r>
      <w:r w:rsidRPr="004A760C">
        <w:rPr>
          <w:rFonts w:ascii="Times New Roman" w:hAnsi="Times New Roman" w:cs="Times New Roman"/>
          <w:color w:val="080808"/>
          <w:sz w:val="24"/>
          <w:szCs w:val="24"/>
        </w:rPr>
        <w:t>declare</w:t>
      </w:r>
      <w:r w:rsidR="00E43684">
        <w:rPr>
          <w:rFonts w:ascii="Times New Roman" w:hAnsi="Times New Roman" w:cs="Times New Roman"/>
          <w:color w:val="080808"/>
          <w:sz w:val="24"/>
          <w:szCs w:val="24"/>
        </w:rPr>
        <w:t>s</w:t>
      </w:r>
      <w:r w:rsidRPr="004A760C">
        <w:rPr>
          <w:rFonts w:ascii="Times New Roman" w:hAnsi="Times New Roman" w:cs="Times New Roman"/>
          <w:color w:val="080808"/>
          <w:sz w:val="24"/>
          <w:szCs w:val="24"/>
        </w:rPr>
        <w:t xml:space="preserve"> that there are no personal or financial conflicts of interest regarding the research in this article.</w:t>
      </w:r>
    </w:p>
    <w:p w14:paraId="762A0F46" w14:textId="53A24081" w:rsidR="005360B8" w:rsidRDefault="00A73BB2" w:rsidP="00352A18">
      <w:pPr>
        <w:spacing w:after="120" w:line="240" w:lineRule="auto"/>
        <w:rPr>
          <w:rFonts w:ascii="Arial" w:eastAsia="Times New Roman" w:hAnsi="Arial" w:cs="Arial"/>
          <w:b/>
          <w:color w:val="auto"/>
          <w:sz w:val="24"/>
          <w:szCs w:val="24"/>
        </w:rPr>
      </w:pPr>
      <w:r>
        <w:rPr>
          <w:rFonts w:ascii="Arial" w:eastAsia="Times New Roman" w:hAnsi="Arial" w:cs="Arial"/>
          <w:b/>
          <w:color w:val="auto"/>
          <w:sz w:val="24"/>
          <w:szCs w:val="24"/>
        </w:rPr>
        <w:br/>
      </w:r>
      <w:r w:rsidR="009536C1" w:rsidRPr="00DB2F02">
        <w:rPr>
          <w:rFonts w:ascii="Arial" w:eastAsia="Times New Roman" w:hAnsi="Arial" w:cs="Arial"/>
          <w:b/>
          <w:color w:val="auto"/>
          <w:sz w:val="24"/>
          <w:szCs w:val="24"/>
        </w:rPr>
        <w:t>References</w:t>
      </w:r>
    </w:p>
    <w:p w14:paraId="5718B24B"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Bilalić, M. (2017). </w:t>
      </w:r>
      <w:r w:rsidRPr="009C3E3B">
        <w:rPr>
          <w:i/>
          <w:color w:val="000000" w:themeColor="text1"/>
          <w:sz w:val="22"/>
        </w:rPr>
        <w:t>The neuroscience of expertise</w:t>
      </w:r>
      <w:r w:rsidRPr="009C3E3B">
        <w:rPr>
          <w:color w:val="000000" w:themeColor="text1"/>
          <w:sz w:val="22"/>
        </w:rPr>
        <w:t>. Cambridge: Cambridge University Press.</w:t>
      </w:r>
    </w:p>
    <w:p w14:paraId="697CBFA9"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Binet, A. (1894). </w:t>
      </w:r>
      <w:r w:rsidRPr="009C3E3B">
        <w:rPr>
          <w:i/>
          <w:color w:val="000000" w:themeColor="text1"/>
          <w:sz w:val="22"/>
        </w:rPr>
        <w:t>Psychologie des grands calculateurs et joueurs d'échecs</w:t>
      </w:r>
      <w:r w:rsidRPr="009C3E3B">
        <w:rPr>
          <w:color w:val="000000" w:themeColor="text1"/>
          <w:sz w:val="22"/>
        </w:rPr>
        <w:t>. Paris: Hachette.  [Reedited by Slatkine Ressources, Paris, 1981.]</w:t>
      </w:r>
    </w:p>
    <w:p w14:paraId="71D19D1E"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Campitelli, G., &amp; Gobet, F. (2010). Herbert Simon’s decision-making approach: Investigation of cognitive processes in experts. </w:t>
      </w:r>
      <w:r w:rsidRPr="009C3E3B">
        <w:rPr>
          <w:i/>
          <w:color w:val="000000" w:themeColor="text1"/>
          <w:sz w:val="22"/>
        </w:rPr>
        <w:t>Review of General Psychology, 14</w:t>
      </w:r>
      <w:r w:rsidRPr="009C3E3B">
        <w:rPr>
          <w:color w:val="000000" w:themeColor="text1"/>
          <w:sz w:val="22"/>
        </w:rPr>
        <w:t xml:space="preserve">, 354-364. </w:t>
      </w:r>
    </w:p>
    <w:p w14:paraId="1185893A"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Carlson, S. (1985). A double-blind test of astrology. </w:t>
      </w:r>
      <w:r w:rsidRPr="009C3E3B">
        <w:rPr>
          <w:i/>
          <w:color w:val="000000" w:themeColor="text1"/>
          <w:sz w:val="22"/>
        </w:rPr>
        <w:t>Nature, 318</w:t>
      </w:r>
      <w:r w:rsidRPr="009C3E3B">
        <w:rPr>
          <w:color w:val="000000" w:themeColor="text1"/>
          <w:sz w:val="22"/>
        </w:rPr>
        <w:t xml:space="preserve">, 419–425. </w:t>
      </w:r>
    </w:p>
    <w:p w14:paraId="4AEE3D54"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Cowles, A. (1944). Stock market forecasting. </w:t>
      </w:r>
      <w:r w:rsidRPr="009C3E3B">
        <w:rPr>
          <w:i/>
          <w:color w:val="000000" w:themeColor="text1"/>
          <w:sz w:val="22"/>
        </w:rPr>
        <w:t>Econometrica, 12</w:t>
      </w:r>
      <w:r w:rsidRPr="009C3E3B">
        <w:rPr>
          <w:color w:val="000000" w:themeColor="text1"/>
          <w:sz w:val="22"/>
        </w:rPr>
        <w:t xml:space="preserve">, 206-214. </w:t>
      </w:r>
    </w:p>
    <w:p w14:paraId="30B38F64"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Dawes, R. M. (1994). </w:t>
      </w:r>
      <w:r w:rsidRPr="009C3E3B">
        <w:rPr>
          <w:i/>
          <w:color w:val="000000" w:themeColor="text1"/>
          <w:sz w:val="22"/>
        </w:rPr>
        <w:t>House of cards: Psychology and psychotherapy built on myth</w:t>
      </w:r>
      <w:r w:rsidRPr="009C3E3B">
        <w:rPr>
          <w:color w:val="000000" w:themeColor="text1"/>
          <w:sz w:val="22"/>
        </w:rPr>
        <w:t>. New York: Free Press.</w:t>
      </w:r>
    </w:p>
    <w:p w14:paraId="7390BAEE"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De Groot, A. D. (1978). </w:t>
      </w:r>
      <w:r w:rsidRPr="009C3E3B">
        <w:rPr>
          <w:i/>
          <w:color w:val="000000" w:themeColor="text1"/>
          <w:sz w:val="22"/>
        </w:rPr>
        <w:t>Thought and choice in chess (first Dutch edition in 1946)</w:t>
      </w:r>
      <w:r w:rsidRPr="009C3E3B">
        <w:rPr>
          <w:color w:val="000000" w:themeColor="text1"/>
          <w:sz w:val="22"/>
        </w:rPr>
        <w:t>. The Hague: Mouton Publishers.</w:t>
      </w:r>
    </w:p>
    <w:p w14:paraId="126020DE"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De Groot, A. D., &amp; Gobet, F. (1996). </w:t>
      </w:r>
      <w:r w:rsidRPr="009C3E3B">
        <w:rPr>
          <w:i/>
          <w:color w:val="000000" w:themeColor="text1"/>
          <w:sz w:val="22"/>
        </w:rPr>
        <w:t>Perception and memory in chess</w:t>
      </w:r>
      <w:r w:rsidRPr="009C3E3B">
        <w:rPr>
          <w:color w:val="000000" w:themeColor="text1"/>
          <w:sz w:val="22"/>
        </w:rPr>
        <w:t>. Assen: Van Gorcum.</w:t>
      </w:r>
    </w:p>
    <w:p w14:paraId="0CD9A76A"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Dreyfus, H. L., &amp; Dreyfus, S. E. (1986). </w:t>
      </w:r>
      <w:r w:rsidRPr="009C3E3B">
        <w:rPr>
          <w:i/>
          <w:color w:val="000000" w:themeColor="text1"/>
          <w:sz w:val="22"/>
        </w:rPr>
        <w:t>Mind over machine: The power of human intuition and expertise in the era of the computer</w:t>
      </w:r>
      <w:r w:rsidRPr="009C3E3B">
        <w:rPr>
          <w:color w:val="000000" w:themeColor="text1"/>
          <w:sz w:val="22"/>
        </w:rPr>
        <w:t>. New York: Free Press.</w:t>
      </w:r>
    </w:p>
    <w:p w14:paraId="14F83AEB"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Ericsson, K. A., Hoffman, R. R., Kozbelt, A., &amp; Williams, A. M. (Eds.). (2018). </w:t>
      </w:r>
      <w:r w:rsidRPr="009C3E3B">
        <w:rPr>
          <w:i/>
          <w:color w:val="000000" w:themeColor="text1"/>
          <w:sz w:val="22"/>
        </w:rPr>
        <w:t>The Cambridge handbook of expertise and expert performance (2nd Ed.)</w:t>
      </w:r>
      <w:r w:rsidRPr="009C3E3B">
        <w:rPr>
          <w:color w:val="000000" w:themeColor="text1"/>
          <w:sz w:val="22"/>
        </w:rPr>
        <w:t>. New York: Cambridge University Press.</w:t>
      </w:r>
    </w:p>
    <w:p w14:paraId="11F8FFB2"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Ericsson, K. A., &amp; Kintsch, W. (1995). Long-term working memory. </w:t>
      </w:r>
      <w:r w:rsidRPr="009C3E3B">
        <w:rPr>
          <w:i/>
          <w:color w:val="000000" w:themeColor="text1"/>
          <w:sz w:val="22"/>
        </w:rPr>
        <w:t>Psychological Review, 102</w:t>
      </w:r>
      <w:r w:rsidRPr="009C3E3B">
        <w:rPr>
          <w:color w:val="000000" w:themeColor="text1"/>
          <w:sz w:val="22"/>
        </w:rPr>
        <w:t xml:space="preserve">, 211-245. </w:t>
      </w:r>
    </w:p>
    <w:p w14:paraId="18761D98"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Freudenthal, D., Pine, J. M., &amp; Gobet, F. (2009). Simulating the referential properties of Dutch, German and English Root Infinitives in MOSAIC. </w:t>
      </w:r>
      <w:r w:rsidRPr="009C3E3B">
        <w:rPr>
          <w:i/>
          <w:color w:val="000000" w:themeColor="text1"/>
          <w:sz w:val="22"/>
        </w:rPr>
        <w:t>Language Learning and Development, 5</w:t>
      </w:r>
      <w:r w:rsidRPr="009C3E3B">
        <w:rPr>
          <w:color w:val="000000" w:themeColor="text1"/>
          <w:sz w:val="22"/>
        </w:rPr>
        <w:t xml:space="preserve">, 1-29. </w:t>
      </w:r>
    </w:p>
    <w:p w14:paraId="065A001A"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Gobet, F. (2011). </w:t>
      </w:r>
      <w:r w:rsidRPr="009C3E3B">
        <w:rPr>
          <w:i/>
          <w:color w:val="000000" w:themeColor="text1"/>
          <w:sz w:val="22"/>
        </w:rPr>
        <w:t>Psychologie du talent et de l'expertise [The psychology of talent and expertise]</w:t>
      </w:r>
      <w:r w:rsidRPr="009C3E3B">
        <w:rPr>
          <w:color w:val="000000" w:themeColor="text1"/>
          <w:sz w:val="22"/>
        </w:rPr>
        <w:t>. Bruxelles: De Boeck.</w:t>
      </w:r>
    </w:p>
    <w:p w14:paraId="45C29B8B"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Gobet, F. (2016). </w:t>
      </w:r>
      <w:r w:rsidRPr="009C3E3B">
        <w:rPr>
          <w:i/>
          <w:color w:val="000000" w:themeColor="text1"/>
          <w:sz w:val="22"/>
        </w:rPr>
        <w:t>Understanding expertise: A multidisciplinary approach</w:t>
      </w:r>
      <w:r w:rsidRPr="009C3E3B">
        <w:rPr>
          <w:color w:val="000000" w:themeColor="text1"/>
          <w:sz w:val="22"/>
        </w:rPr>
        <w:t>. London: Palgrave.</w:t>
      </w:r>
    </w:p>
    <w:p w14:paraId="55D602E1"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Gobet, F. (in press). The classic expertise approach and its evolution. In P. Ward, J. M. Schraagen, J. Gore, &amp; E. Roth (Eds.), </w:t>
      </w:r>
      <w:r w:rsidRPr="009C3E3B">
        <w:rPr>
          <w:i/>
          <w:color w:val="000000" w:themeColor="text1"/>
          <w:sz w:val="22"/>
        </w:rPr>
        <w:t>Oxford handbook of expertise: Research and application</w:t>
      </w:r>
      <w:r w:rsidRPr="009C3E3B">
        <w:rPr>
          <w:color w:val="000000" w:themeColor="text1"/>
          <w:sz w:val="22"/>
        </w:rPr>
        <w:t>. Oxford: Oxford University Press.</w:t>
      </w:r>
    </w:p>
    <w:p w14:paraId="0E395459"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Gobet, F., Lloyd-Kelly, M., &amp; Lane, P. C. R. (2018). Computational models of expertise. In D. Z. Hambrick, G. Campitelli, &amp; B. N. Macnamara (Eds.), </w:t>
      </w:r>
      <w:r w:rsidRPr="009C3E3B">
        <w:rPr>
          <w:i/>
          <w:color w:val="000000" w:themeColor="text1"/>
          <w:sz w:val="22"/>
        </w:rPr>
        <w:t>The science of expertise</w:t>
      </w:r>
      <w:r w:rsidRPr="009C3E3B">
        <w:rPr>
          <w:color w:val="000000" w:themeColor="text1"/>
          <w:sz w:val="22"/>
        </w:rPr>
        <w:t xml:space="preserve"> (pp. 347-364). New York: Psychology Press.</w:t>
      </w:r>
    </w:p>
    <w:p w14:paraId="48658F4E"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Gobet, F., &amp; Simon, H. A. (1996a). Recall of random and distorted positions. Implications for the theory of expertise. </w:t>
      </w:r>
      <w:r w:rsidRPr="009C3E3B">
        <w:rPr>
          <w:i/>
          <w:color w:val="000000" w:themeColor="text1"/>
          <w:sz w:val="22"/>
        </w:rPr>
        <w:t>Memory &amp; cognition, 24</w:t>
      </w:r>
      <w:r w:rsidRPr="009C3E3B">
        <w:rPr>
          <w:color w:val="000000" w:themeColor="text1"/>
          <w:sz w:val="22"/>
        </w:rPr>
        <w:t xml:space="preserve">, 493-503. </w:t>
      </w:r>
    </w:p>
    <w:p w14:paraId="7B378D48"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Gobet, F., &amp; Simon, H. A. (1996b). Recall of rapidly presented random chess positions is a function of skill. </w:t>
      </w:r>
      <w:r w:rsidRPr="009C3E3B">
        <w:rPr>
          <w:i/>
          <w:color w:val="000000" w:themeColor="text1"/>
          <w:sz w:val="22"/>
        </w:rPr>
        <w:t>Psychonomic Bulletin &amp; Review, 3</w:t>
      </w:r>
      <w:r w:rsidRPr="009C3E3B">
        <w:rPr>
          <w:color w:val="000000" w:themeColor="text1"/>
          <w:sz w:val="22"/>
        </w:rPr>
        <w:t xml:space="preserve">, 159-163. </w:t>
      </w:r>
    </w:p>
    <w:p w14:paraId="1D33FD38"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Gobet, F., &amp; Simon, H. A. (1996c). Templates in chess memory: A mechanism for recalling several boards. </w:t>
      </w:r>
      <w:r w:rsidRPr="009C3E3B">
        <w:rPr>
          <w:i/>
          <w:color w:val="000000" w:themeColor="text1"/>
          <w:sz w:val="22"/>
        </w:rPr>
        <w:t>Cognitive Psychology, 31</w:t>
      </w:r>
      <w:r w:rsidRPr="009C3E3B">
        <w:rPr>
          <w:color w:val="000000" w:themeColor="text1"/>
          <w:sz w:val="22"/>
        </w:rPr>
        <w:t xml:space="preserve">, 1-40. </w:t>
      </w:r>
    </w:p>
    <w:p w14:paraId="6E85FCC5"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Guida, A., Gobet, F., Tardieu, H., &amp; Nicolas, S. (2012). How chunks, long-term working memory and templates offer a cognitive explanation for neuroimaging data on expertise acquisition: A two-stage framework. </w:t>
      </w:r>
      <w:r w:rsidRPr="009C3E3B">
        <w:rPr>
          <w:i/>
          <w:color w:val="000000" w:themeColor="text1"/>
          <w:sz w:val="22"/>
        </w:rPr>
        <w:t>Brain and cognition, 79</w:t>
      </w:r>
      <w:r w:rsidRPr="009C3E3B">
        <w:rPr>
          <w:color w:val="000000" w:themeColor="text1"/>
          <w:sz w:val="22"/>
        </w:rPr>
        <w:t xml:space="preserve">, 221-244. </w:t>
      </w:r>
    </w:p>
    <w:p w14:paraId="253F10F2"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Hambrick, D. Z., Campitelli, G., &amp; Macnamara, B. N. (2018). </w:t>
      </w:r>
      <w:r w:rsidRPr="009C3E3B">
        <w:rPr>
          <w:i/>
          <w:color w:val="000000" w:themeColor="text1"/>
          <w:sz w:val="22"/>
        </w:rPr>
        <w:t>The science of expertise</w:t>
      </w:r>
      <w:r w:rsidRPr="009C3E3B">
        <w:rPr>
          <w:color w:val="000000" w:themeColor="text1"/>
          <w:sz w:val="22"/>
        </w:rPr>
        <w:t>. New York: Psychology Press.</w:t>
      </w:r>
    </w:p>
    <w:p w14:paraId="7F79E5A8"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Hoffman, R. R., LaDue, D. S., Mogil, H. M., Roebber, P. J., &amp; Trafton, J. G. (2017). </w:t>
      </w:r>
      <w:r w:rsidRPr="009C3E3B">
        <w:rPr>
          <w:i/>
          <w:color w:val="000000" w:themeColor="text1"/>
          <w:sz w:val="22"/>
        </w:rPr>
        <w:t>Minding the weather: How expert forecasters think</w:t>
      </w:r>
      <w:r w:rsidRPr="009C3E3B">
        <w:rPr>
          <w:color w:val="000000" w:themeColor="text1"/>
          <w:sz w:val="22"/>
        </w:rPr>
        <w:t>. Cambridge, MA: The MIT Press.</w:t>
      </w:r>
    </w:p>
    <w:p w14:paraId="026C64C2"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Lane, P. C. R., &amp; Gobet, F. (2012). A theory-driven testing methodology for developing scientific software. </w:t>
      </w:r>
      <w:r w:rsidRPr="009C3E3B">
        <w:rPr>
          <w:i/>
          <w:color w:val="000000" w:themeColor="text1"/>
          <w:sz w:val="22"/>
        </w:rPr>
        <w:t>Journal of Experimental and Theoretical Artificial Intelligence, 24</w:t>
      </w:r>
      <w:r w:rsidRPr="009C3E3B">
        <w:rPr>
          <w:color w:val="000000" w:themeColor="text1"/>
          <w:sz w:val="22"/>
        </w:rPr>
        <w:t xml:space="preserve">, 421-456. </w:t>
      </w:r>
    </w:p>
    <w:p w14:paraId="13620A5F"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Luhmann, N. (1995). </w:t>
      </w:r>
      <w:r w:rsidRPr="009C3E3B">
        <w:rPr>
          <w:i/>
          <w:color w:val="000000" w:themeColor="text1"/>
          <w:sz w:val="22"/>
        </w:rPr>
        <w:t>Social systems</w:t>
      </w:r>
      <w:r w:rsidRPr="009C3E3B">
        <w:rPr>
          <w:color w:val="000000" w:themeColor="text1"/>
          <w:sz w:val="22"/>
        </w:rPr>
        <w:t>. Stanford, CA: Stanford University Press.</w:t>
      </w:r>
    </w:p>
    <w:p w14:paraId="33349237"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Montero, B., &amp; Evans, C. D. A. (2011). Intuitions without concepts lose the game: Mindedness in the art of chess. </w:t>
      </w:r>
      <w:r w:rsidRPr="009C3E3B">
        <w:rPr>
          <w:i/>
          <w:color w:val="000000" w:themeColor="text1"/>
          <w:sz w:val="22"/>
        </w:rPr>
        <w:t>Phenomenology and the Cognitive Sciences, 10</w:t>
      </w:r>
      <w:r w:rsidRPr="009C3E3B">
        <w:rPr>
          <w:color w:val="000000" w:themeColor="text1"/>
          <w:sz w:val="22"/>
        </w:rPr>
        <w:t xml:space="preserve">, 175-194. </w:t>
      </w:r>
    </w:p>
    <w:p w14:paraId="02DA1F33"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Newell, A. (1982). The knowledge level. </w:t>
      </w:r>
      <w:r w:rsidRPr="009C3E3B">
        <w:rPr>
          <w:i/>
          <w:color w:val="000000" w:themeColor="text1"/>
          <w:sz w:val="22"/>
        </w:rPr>
        <w:t>Artificial Intelligence, 18</w:t>
      </w:r>
      <w:r w:rsidRPr="009C3E3B">
        <w:rPr>
          <w:color w:val="000000" w:themeColor="text1"/>
          <w:sz w:val="22"/>
        </w:rPr>
        <w:t xml:space="preserve">, 87-127. </w:t>
      </w:r>
    </w:p>
    <w:p w14:paraId="04EBAB7E"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Newell, A., &amp; Simon, H. A. (1972). </w:t>
      </w:r>
      <w:r w:rsidRPr="009C3E3B">
        <w:rPr>
          <w:i/>
          <w:color w:val="000000" w:themeColor="text1"/>
          <w:sz w:val="22"/>
        </w:rPr>
        <w:t>Human problem solving</w:t>
      </w:r>
      <w:r w:rsidRPr="009C3E3B">
        <w:rPr>
          <w:color w:val="000000" w:themeColor="text1"/>
          <w:sz w:val="22"/>
        </w:rPr>
        <w:t>. Englewood Cliffs, NJ: Prentice-Hall.</w:t>
      </w:r>
    </w:p>
    <w:p w14:paraId="601EAA96"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Okada, T., &amp; Simon, H. A. (1997). Collaborative discovery in a scientific domain. </w:t>
      </w:r>
      <w:r w:rsidRPr="009C3E3B">
        <w:rPr>
          <w:i/>
          <w:color w:val="000000" w:themeColor="text1"/>
          <w:sz w:val="22"/>
        </w:rPr>
        <w:t>Cognitive Science, 21</w:t>
      </w:r>
      <w:r w:rsidRPr="009C3E3B">
        <w:rPr>
          <w:color w:val="000000" w:themeColor="text1"/>
          <w:sz w:val="22"/>
        </w:rPr>
        <w:t>, 109-146.</w:t>
      </w:r>
    </w:p>
    <w:p w14:paraId="1383149A"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lastRenderedPageBreak/>
        <w:t xml:space="preserve">Sala, G., &amp; Gobet, F. (2017). Experts’ memory superiority for domain-specific random material generalizes across fields of expertise: A meta-analysis. </w:t>
      </w:r>
      <w:r w:rsidRPr="009C3E3B">
        <w:rPr>
          <w:i/>
          <w:color w:val="000000" w:themeColor="text1"/>
          <w:sz w:val="22"/>
        </w:rPr>
        <w:t>Memory &amp; cognition, 45</w:t>
      </w:r>
      <w:r w:rsidRPr="009C3E3B">
        <w:rPr>
          <w:color w:val="000000" w:themeColor="text1"/>
          <w:sz w:val="22"/>
        </w:rPr>
        <w:t>, 183–193.</w:t>
      </w:r>
    </w:p>
    <w:p w14:paraId="26BA1384"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Seligman, M. E. P., &amp; Csikszentmihalyi, M. (2000). Positive psychology: An introduction. </w:t>
      </w:r>
      <w:r w:rsidRPr="009C3E3B">
        <w:rPr>
          <w:i/>
          <w:color w:val="000000" w:themeColor="text1"/>
          <w:sz w:val="22"/>
        </w:rPr>
        <w:t>American Psychologist, 55</w:t>
      </w:r>
      <w:r w:rsidRPr="009C3E3B">
        <w:rPr>
          <w:color w:val="000000" w:themeColor="text1"/>
          <w:sz w:val="22"/>
        </w:rPr>
        <w:t xml:space="preserve">, 5-14. </w:t>
      </w:r>
    </w:p>
    <w:p w14:paraId="4B8B71F0"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Selinger, E. (2011). </w:t>
      </w:r>
      <w:r w:rsidRPr="009C3E3B">
        <w:rPr>
          <w:i/>
          <w:color w:val="000000" w:themeColor="text1"/>
          <w:sz w:val="22"/>
        </w:rPr>
        <w:t>Expertise: Philosophical reflections</w:t>
      </w:r>
      <w:r w:rsidRPr="009C3E3B">
        <w:rPr>
          <w:color w:val="000000" w:themeColor="text1"/>
          <w:sz w:val="22"/>
        </w:rPr>
        <w:t>. Birkerød, DK: Automatic Press.</w:t>
      </w:r>
    </w:p>
    <w:p w14:paraId="3F9EECDD"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Simon, H. A. (1962). The architecture of complexity. </w:t>
      </w:r>
      <w:r w:rsidRPr="009C3E3B">
        <w:rPr>
          <w:i/>
          <w:color w:val="000000" w:themeColor="text1"/>
          <w:sz w:val="22"/>
        </w:rPr>
        <w:t>Proceedings of the American Philosophical Society, 106</w:t>
      </w:r>
      <w:r w:rsidRPr="009C3E3B">
        <w:rPr>
          <w:color w:val="000000" w:themeColor="text1"/>
          <w:sz w:val="22"/>
        </w:rPr>
        <w:t xml:space="preserve">, 467-482. </w:t>
      </w:r>
    </w:p>
    <w:p w14:paraId="4EF1AA9C"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Simon, H. A. (1982). </w:t>
      </w:r>
      <w:r w:rsidRPr="009C3E3B">
        <w:rPr>
          <w:i/>
          <w:color w:val="000000" w:themeColor="text1"/>
          <w:sz w:val="22"/>
        </w:rPr>
        <w:t>Models of bounded rationality: Behavioral economics and business organization</w:t>
      </w:r>
      <w:r w:rsidRPr="009C3E3B">
        <w:rPr>
          <w:color w:val="000000" w:themeColor="text1"/>
          <w:sz w:val="22"/>
        </w:rPr>
        <w:t>. Cambridge, MA: The MIT Press.</w:t>
      </w:r>
    </w:p>
    <w:p w14:paraId="282AF1B9"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Simon, H. A., &amp; Chase, W. G. (1973). Skill in chess. </w:t>
      </w:r>
      <w:r w:rsidRPr="009C3E3B">
        <w:rPr>
          <w:i/>
          <w:color w:val="000000" w:themeColor="text1"/>
          <w:sz w:val="22"/>
        </w:rPr>
        <w:t>American Scientist, 61</w:t>
      </w:r>
      <w:r w:rsidRPr="009C3E3B">
        <w:rPr>
          <w:color w:val="000000" w:themeColor="text1"/>
          <w:sz w:val="22"/>
        </w:rPr>
        <w:t xml:space="preserve">, 393-403. </w:t>
      </w:r>
    </w:p>
    <w:p w14:paraId="128811E3" w14:textId="6124C891" w:rsidR="00942255" w:rsidRPr="009C3E3B" w:rsidRDefault="00216658" w:rsidP="00942255">
      <w:pPr>
        <w:pStyle w:val="EndNoteBibliography"/>
        <w:ind w:left="288" w:hanging="288"/>
        <w:rPr>
          <w:color w:val="000000" w:themeColor="text1"/>
          <w:sz w:val="22"/>
        </w:rPr>
      </w:pPr>
      <w:r>
        <w:rPr>
          <w:color w:val="000000" w:themeColor="text1"/>
          <w:sz w:val="22"/>
        </w:rPr>
        <w:br w:type="column"/>
      </w:r>
      <w:r w:rsidR="00942255" w:rsidRPr="009C3E3B">
        <w:rPr>
          <w:color w:val="000000" w:themeColor="text1"/>
          <w:sz w:val="22"/>
        </w:rPr>
        <w:t xml:space="preserve">Simon, H. A., &amp; Gilmartin, K. J. (1973). A simulation of memory for chess positions. </w:t>
      </w:r>
      <w:r w:rsidR="00942255" w:rsidRPr="009C3E3B">
        <w:rPr>
          <w:i/>
          <w:color w:val="000000" w:themeColor="text1"/>
          <w:sz w:val="22"/>
        </w:rPr>
        <w:t>Cognitive Psychology, 5</w:t>
      </w:r>
      <w:r w:rsidR="00942255" w:rsidRPr="009C3E3B">
        <w:rPr>
          <w:color w:val="000000" w:themeColor="text1"/>
          <w:sz w:val="22"/>
        </w:rPr>
        <w:t xml:space="preserve">, 29-46. </w:t>
      </w:r>
    </w:p>
    <w:p w14:paraId="0922F67A" w14:textId="77777777"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Staszewski, J. (Ed.) (2013). </w:t>
      </w:r>
      <w:r w:rsidRPr="009C3E3B">
        <w:rPr>
          <w:i/>
          <w:color w:val="000000" w:themeColor="text1"/>
          <w:sz w:val="22"/>
        </w:rPr>
        <w:t>Expertise and skill acquisition: The impact of William G. Chase</w:t>
      </w:r>
      <w:r w:rsidRPr="009C3E3B">
        <w:rPr>
          <w:color w:val="000000" w:themeColor="text1"/>
          <w:sz w:val="22"/>
        </w:rPr>
        <w:t>. New York: Psychology Press.</w:t>
      </w:r>
    </w:p>
    <w:p w14:paraId="1D5664F6" w14:textId="27510E65" w:rsidR="00942255" w:rsidRPr="009C3E3B" w:rsidRDefault="00942255" w:rsidP="00942255">
      <w:pPr>
        <w:pStyle w:val="EndNoteBibliography"/>
        <w:ind w:left="288" w:hanging="288"/>
        <w:rPr>
          <w:color w:val="000000" w:themeColor="text1"/>
          <w:sz w:val="22"/>
        </w:rPr>
      </w:pPr>
      <w:r w:rsidRPr="009C3E3B">
        <w:rPr>
          <w:color w:val="000000" w:themeColor="text1"/>
          <w:sz w:val="22"/>
        </w:rPr>
        <w:t xml:space="preserve">Ward, P., Schraagen, J. M., Gore, J., &amp; Roth, E. (Eds.). (in press). </w:t>
      </w:r>
      <w:r w:rsidRPr="009C3E3B">
        <w:rPr>
          <w:i/>
          <w:color w:val="000000" w:themeColor="text1"/>
          <w:sz w:val="22"/>
        </w:rPr>
        <w:t>The Oxford handbook of expertise: Research and application</w:t>
      </w:r>
      <w:r w:rsidRPr="009C3E3B">
        <w:rPr>
          <w:color w:val="000000" w:themeColor="text1"/>
          <w:sz w:val="22"/>
        </w:rPr>
        <w:t>. Oxford: Oxford University Press.</w:t>
      </w:r>
    </w:p>
    <w:p w14:paraId="437588F9" w14:textId="77777777" w:rsidR="00216658" w:rsidRDefault="00216658" w:rsidP="0021665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Times New Roman" w:hAnsi="Times New Roman" w:cs="Times New Roman"/>
        </w:rPr>
      </w:pPr>
    </w:p>
    <w:p w14:paraId="20FB7947" w14:textId="77777777" w:rsidR="00216658" w:rsidRDefault="00216658" w:rsidP="0021665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Times New Roman" w:hAnsi="Times New Roman" w:cs="Times New Roman"/>
        </w:rPr>
      </w:pPr>
    </w:p>
    <w:p w14:paraId="41987E54" w14:textId="77777777" w:rsidR="00216658" w:rsidRDefault="00216658" w:rsidP="0021665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Times New Roman" w:hAnsi="Times New Roman" w:cs="Times New Roman"/>
        </w:rPr>
      </w:pPr>
    </w:p>
    <w:p w14:paraId="6A90E3B0" w14:textId="6A686285" w:rsidR="00352A18" w:rsidRPr="00216658" w:rsidRDefault="008C3746" w:rsidP="0021665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Times New Roman" w:hAnsi="Times New Roman" w:cs="Times New Roman"/>
        </w:rPr>
      </w:pPr>
      <w:r>
        <w:rPr>
          <w:rFonts w:ascii="Arial" w:hAnsi="Arial" w:cs="Arial"/>
          <w:noProof/>
          <w:sz w:val="20"/>
          <w:szCs w:val="20"/>
        </w:rPr>
        <w:drawing>
          <wp:anchor distT="0" distB="0" distL="0" distR="0" simplePos="0" relativeHeight="251669504" behindDoc="1" locked="0" layoutInCell="1" allowOverlap="0" wp14:anchorId="3F7D8F56" wp14:editId="4DD645F3">
            <wp:simplePos x="0" y="0"/>
            <wp:positionH relativeFrom="margin">
              <wp:posOffset>5672455</wp:posOffset>
            </wp:positionH>
            <wp:positionV relativeFrom="page">
              <wp:posOffset>2880588</wp:posOffset>
            </wp:positionV>
            <wp:extent cx="521208" cy="521208"/>
            <wp:effectExtent l="0" t="0" r="0" b="0"/>
            <wp:wrapTight wrapText="bothSides">
              <wp:wrapPolygon edited="0">
                <wp:start x="0" y="0"/>
                <wp:lineTo x="0" y="20546"/>
                <wp:lineTo x="20546" y="20546"/>
                <wp:lineTo x="2054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E_Logo_2.jpg"/>
                    <pic:cNvPicPr/>
                  </pic:nvPicPr>
                  <pic:blipFill>
                    <a:blip r:embed="rId8"/>
                    <a:stretch>
                      <a:fillRect/>
                    </a:stretch>
                  </pic:blipFill>
                  <pic:spPr>
                    <a:xfrm>
                      <a:off x="0" y="0"/>
                      <a:ext cx="521208" cy="521208"/>
                    </a:xfrm>
                    <a:prstGeom prst="rect">
                      <a:avLst/>
                    </a:prstGeom>
                  </pic:spPr>
                </pic:pic>
              </a:graphicData>
            </a:graphic>
            <wp14:sizeRelH relativeFrom="margin">
              <wp14:pctWidth>0</wp14:pctWidth>
            </wp14:sizeRelH>
            <wp14:sizeRelV relativeFrom="margin">
              <wp14:pctHeight>0</wp14:pctHeight>
            </wp14:sizeRelV>
          </wp:anchor>
        </w:drawing>
      </w:r>
    </w:p>
    <w:p w14:paraId="6AFE1F98" w14:textId="2B4A14D5" w:rsidR="0023098B" w:rsidRPr="00B8461C" w:rsidRDefault="0023098B" w:rsidP="0023098B">
      <w:pPr>
        <w:shd w:val="clear" w:color="auto" w:fill="FFFFFF"/>
        <w:spacing w:after="0" w:line="240" w:lineRule="auto"/>
        <w:rPr>
          <w:rFonts w:ascii="Times New Roman" w:eastAsia="Times New Roman" w:hAnsi="Times New Roman" w:cs="Times New Roman"/>
          <w:color w:val="auto"/>
        </w:rPr>
      </w:pPr>
      <w:r w:rsidRPr="00B8461C">
        <w:rPr>
          <w:rFonts w:ascii="Times New Roman" w:eastAsia="Times New Roman" w:hAnsi="Times New Roman" w:cs="Times New Roman"/>
          <w:color w:val="auto"/>
        </w:rPr>
        <w:t xml:space="preserve">Received: </w:t>
      </w:r>
      <w:r w:rsidR="00762FE6" w:rsidRPr="00B8461C">
        <w:rPr>
          <w:rFonts w:ascii="Times New Roman" w:eastAsia="Times New Roman" w:hAnsi="Times New Roman" w:cs="Times New Roman"/>
          <w:color w:val="auto"/>
        </w:rPr>
        <w:t>16</w:t>
      </w:r>
      <w:r w:rsidR="00CD2D5A" w:rsidRPr="00B8461C">
        <w:rPr>
          <w:rFonts w:ascii="Times New Roman" w:eastAsia="Times New Roman" w:hAnsi="Times New Roman" w:cs="Times New Roman"/>
          <w:color w:val="auto"/>
        </w:rPr>
        <w:t xml:space="preserve"> </w:t>
      </w:r>
      <w:r w:rsidR="00762FE6" w:rsidRPr="00B8461C">
        <w:rPr>
          <w:rFonts w:ascii="Times New Roman" w:eastAsia="Times New Roman" w:hAnsi="Times New Roman" w:cs="Times New Roman"/>
          <w:color w:val="auto"/>
        </w:rPr>
        <w:t>July</w:t>
      </w:r>
      <w:r w:rsidRPr="00B8461C">
        <w:rPr>
          <w:rFonts w:ascii="Times New Roman" w:eastAsia="Times New Roman" w:hAnsi="Times New Roman" w:cs="Times New Roman"/>
          <w:color w:val="auto"/>
        </w:rPr>
        <w:t xml:space="preserve"> 201</w:t>
      </w:r>
      <w:r w:rsidR="00BC064B" w:rsidRPr="00B8461C">
        <w:rPr>
          <w:rFonts w:ascii="Times New Roman" w:eastAsia="Times New Roman" w:hAnsi="Times New Roman" w:cs="Times New Roman"/>
          <w:color w:val="auto"/>
        </w:rPr>
        <w:t>8</w:t>
      </w:r>
    </w:p>
    <w:p w14:paraId="320EED0D" w14:textId="67D8E131" w:rsidR="0023098B" w:rsidRPr="00B8461C" w:rsidRDefault="0023098B" w:rsidP="0023098B">
      <w:pPr>
        <w:autoSpaceDE w:val="0"/>
        <w:autoSpaceDN w:val="0"/>
        <w:adjustRightInd w:val="0"/>
        <w:spacing w:after="0" w:line="240" w:lineRule="auto"/>
        <w:rPr>
          <w:rFonts w:ascii="Times New Roman" w:eastAsia="Times New Roman" w:hAnsi="Times New Roman" w:cs="Times New Roman"/>
          <w:color w:val="auto"/>
          <w:shd w:val="clear" w:color="auto" w:fill="FFFFFF"/>
        </w:rPr>
      </w:pPr>
      <w:r w:rsidRPr="00B8461C">
        <w:rPr>
          <w:rFonts w:ascii="Times New Roman" w:eastAsia="Times New Roman" w:hAnsi="Times New Roman" w:cs="Times New Roman"/>
          <w:color w:val="auto"/>
          <w:shd w:val="clear" w:color="auto" w:fill="FFFFFF"/>
        </w:rPr>
        <w:t xml:space="preserve">Revision </w:t>
      </w:r>
      <w:r w:rsidR="00211067" w:rsidRPr="00B8461C">
        <w:rPr>
          <w:rFonts w:ascii="Times New Roman" w:eastAsia="Times New Roman" w:hAnsi="Times New Roman" w:cs="Times New Roman"/>
          <w:color w:val="auto"/>
          <w:shd w:val="clear" w:color="auto" w:fill="FFFFFF"/>
        </w:rPr>
        <w:t>r</w:t>
      </w:r>
      <w:r w:rsidRPr="00B8461C">
        <w:rPr>
          <w:rFonts w:ascii="Times New Roman" w:eastAsia="Times New Roman" w:hAnsi="Times New Roman" w:cs="Times New Roman"/>
          <w:color w:val="auto"/>
          <w:shd w:val="clear" w:color="auto" w:fill="FFFFFF"/>
        </w:rPr>
        <w:t xml:space="preserve">eceived: </w:t>
      </w:r>
      <w:r w:rsidR="00762FE6" w:rsidRPr="00B8461C">
        <w:rPr>
          <w:rFonts w:ascii="Times New Roman" w:eastAsia="Times New Roman" w:hAnsi="Times New Roman" w:cs="Times New Roman"/>
          <w:color w:val="auto"/>
          <w:shd w:val="clear" w:color="auto" w:fill="FFFFFF"/>
        </w:rPr>
        <w:t>10</w:t>
      </w:r>
      <w:r w:rsidRPr="00B8461C">
        <w:rPr>
          <w:rFonts w:ascii="Times New Roman" w:eastAsia="Times New Roman" w:hAnsi="Times New Roman" w:cs="Times New Roman"/>
          <w:color w:val="auto"/>
          <w:shd w:val="clear" w:color="auto" w:fill="FFFFFF"/>
        </w:rPr>
        <w:t xml:space="preserve"> </w:t>
      </w:r>
      <w:r w:rsidR="00762FE6" w:rsidRPr="00B8461C">
        <w:rPr>
          <w:rFonts w:ascii="Times New Roman" w:eastAsia="Times New Roman" w:hAnsi="Times New Roman" w:cs="Times New Roman"/>
          <w:color w:val="auto"/>
          <w:shd w:val="clear" w:color="auto" w:fill="FFFFFF"/>
        </w:rPr>
        <w:t>August</w:t>
      </w:r>
      <w:r w:rsidRPr="00B8461C">
        <w:rPr>
          <w:rFonts w:ascii="Times New Roman" w:eastAsia="Times New Roman" w:hAnsi="Times New Roman" w:cs="Times New Roman"/>
          <w:color w:val="auto"/>
          <w:shd w:val="clear" w:color="auto" w:fill="FFFFFF"/>
        </w:rPr>
        <w:t xml:space="preserve"> 201</w:t>
      </w:r>
      <w:r w:rsidR="00BC064B" w:rsidRPr="00B8461C">
        <w:rPr>
          <w:rFonts w:ascii="Times New Roman" w:eastAsia="Times New Roman" w:hAnsi="Times New Roman" w:cs="Times New Roman"/>
          <w:color w:val="auto"/>
          <w:shd w:val="clear" w:color="auto" w:fill="FFFFFF"/>
        </w:rPr>
        <w:t>8</w:t>
      </w:r>
      <w:r w:rsidRPr="00B8461C">
        <w:rPr>
          <w:rFonts w:ascii="Times New Roman" w:eastAsia="Times New Roman" w:hAnsi="Times New Roman" w:cs="Times New Roman"/>
          <w:color w:val="auto"/>
          <w:shd w:val="clear" w:color="auto" w:fill="FFFFFF"/>
        </w:rPr>
        <w:br/>
        <w:t xml:space="preserve">Accepted: </w:t>
      </w:r>
      <w:r w:rsidR="00762FE6" w:rsidRPr="00B8461C">
        <w:rPr>
          <w:rFonts w:ascii="Times New Roman" w:eastAsia="Times New Roman" w:hAnsi="Times New Roman" w:cs="Times New Roman"/>
          <w:color w:val="auto"/>
          <w:shd w:val="clear" w:color="auto" w:fill="FFFFFF"/>
        </w:rPr>
        <w:t>10</w:t>
      </w:r>
      <w:r w:rsidRPr="00B8461C">
        <w:rPr>
          <w:rFonts w:ascii="Times New Roman" w:eastAsia="Times New Roman" w:hAnsi="Times New Roman" w:cs="Times New Roman"/>
          <w:color w:val="auto"/>
          <w:shd w:val="clear" w:color="auto" w:fill="FFFFFF"/>
        </w:rPr>
        <w:t xml:space="preserve"> </w:t>
      </w:r>
      <w:r w:rsidR="00762FE6" w:rsidRPr="00B8461C">
        <w:rPr>
          <w:rFonts w:ascii="Times New Roman" w:eastAsia="Times New Roman" w:hAnsi="Times New Roman" w:cs="Times New Roman"/>
          <w:color w:val="auto"/>
          <w:shd w:val="clear" w:color="auto" w:fill="FFFFFF"/>
        </w:rPr>
        <w:t>August</w:t>
      </w:r>
      <w:r w:rsidR="00CD2D5A" w:rsidRPr="00B8461C">
        <w:rPr>
          <w:rFonts w:ascii="Times New Roman" w:eastAsia="Times New Roman" w:hAnsi="Times New Roman" w:cs="Times New Roman"/>
          <w:color w:val="auto"/>
          <w:shd w:val="clear" w:color="auto" w:fill="FFFFFF"/>
        </w:rPr>
        <w:t xml:space="preserve"> </w:t>
      </w:r>
      <w:r w:rsidRPr="00B8461C">
        <w:rPr>
          <w:rFonts w:ascii="Times New Roman" w:eastAsia="Times New Roman" w:hAnsi="Times New Roman" w:cs="Times New Roman"/>
          <w:color w:val="auto"/>
          <w:shd w:val="clear" w:color="auto" w:fill="FFFFFF"/>
        </w:rPr>
        <w:t>201</w:t>
      </w:r>
      <w:r w:rsidR="00BC064B" w:rsidRPr="00B8461C">
        <w:rPr>
          <w:rFonts w:ascii="Times New Roman" w:eastAsia="Times New Roman" w:hAnsi="Times New Roman" w:cs="Times New Roman"/>
          <w:color w:val="auto"/>
          <w:shd w:val="clear" w:color="auto" w:fill="FFFFFF"/>
        </w:rPr>
        <w:t>8</w:t>
      </w:r>
    </w:p>
    <w:p w14:paraId="1C3FBD52" w14:textId="415E78A1" w:rsidR="00AE1C0E" w:rsidRPr="00025771" w:rsidRDefault="00AE1C0E" w:rsidP="00FC7A46">
      <w:pPr>
        <w:autoSpaceDE w:val="0"/>
        <w:autoSpaceDN w:val="0"/>
        <w:adjustRightInd w:val="0"/>
        <w:spacing w:after="0" w:line="240" w:lineRule="auto"/>
        <w:rPr>
          <w:rFonts w:ascii="Times New Roman" w:eastAsiaTheme="minorHAnsi" w:hAnsi="Times New Roman" w:cs="Times New Roman"/>
          <w:color w:val="FF0000"/>
        </w:rPr>
      </w:pPr>
    </w:p>
    <w:p w14:paraId="65A21388" w14:textId="37994C25" w:rsidR="00FC7A46" w:rsidRPr="00FC7A46" w:rsidRDefault="00FC7A46" w:rsidP="005F5F4C">
      <w:pPr>
        <w:spacing w:after="0" w:line="240" w:lineRule="auto"/>
        <w:ind w:left="288" w:hanging="288"/>
        <w:rPr>
          <w:rFonts w:ascii="Times New Roman" w:eastAsia="Times New Roman" w:hAnsi="Times New Roman" w:cs="Times New Roman"/>
          <w:color w:val="auto"/>
          <w:spacing w:val="-6"/>
        </w:rPr>
      </w:pPr>
    </w:p>
    <w:sectPr w:rsidR="00FC7A46" w:rsidRPr="00FC7A46" w:rsidSect="00366397">
      <w:footerReference w:type="even" r:id="rId15"/>
      <w:type w:val="continuous"/>
      <w:pgSz w:w="12240" w:h="15840" w:code="1"/>
      <w:pgMar w:top="1080" w:right="1080" w:bottom="1080" w:left="1080" w:header="0" w:footer="360" w:gutter="0"/>
      <w:cols w:num="2"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47907" w14:textId="77777777" w:rsidR="00E7549F" w:rsidRDefault="00E7549F" w:rsidP="00AE1628">
      <w:pPr>
        <w:pBdr>
          <w:bottom w:val="single" w:sz="4" w:space="1" w:color="auto"/>
        </w:pBdr>
        <w:spacing w:after="0" w:line="240" w:lineRule="auto"/>
      </w:pPr>
      <w:r>
        <w:separator/>
      </w:r>
    </w:p>
    <w:p w14:paraId="28E3E37A" w14:textId="77777777" w:rsidR="00E7549F" w:rsidRDefault="00E7549F" w:rsidP="00AE1628">
      <w:pPr>
        <w:pBdr>
          <w:bottom w:val="single" w:sz="4" w:space="1" w:color="auto"/>
        </w:pBdr>
      </w:pPr>
    </w:p>
    <w:p w14:paraId="499A824E" w14:textId="77777777" w:rsidR="00E7549F" w:rsidRDefault="00E7549F" w:rsidP="00AE1628">
      <w:pPr>
        <w:pBdr>
          <w:bottom w:val="single" w:sz="4" w:space="1" w:color="auto"/>
        </w:pBdr>
      </w:pPr>
    </w:p>
  </w:endnote>
  <w:endnote w:type="continuationSeparator" w:id="0">
    <w:p w14:paraId="73FCEA69" w14:textId="77777777" w:rsidR="00E7549F" w:rsidRDefault="00E7549F" w:rsidP="00AE1628">
      <w:pPr>
        <w:pBdr>
          <w:bottom w:val="single" w:sz="4" w:space="1" w:color="auto"/>
        </w:pBdr>
        <w:spacing w:after="0" w:line="240" w:lineRule="auto"/>
      </w:pPr>
      <w:r>
        <w:continuationSeparator/>
      </w:r>
    </w:p>
    <w:p w14:paraId="48B9B38F" w14:textId="77777777" w:rsidR="00E7549F" w:rsidRDefault="00E7549F" w:rsidP="00AE1628">
      <w:pPr>
        <w:pBdr>
          <w:bottom w:val="single" w:sz="4" w:space="1" w:color="auto"/>
        </w:pBdr>
      </w:pPr>
    </w:p>
    <w:p w14:paraId="172A40B4" w14:textId="77777777" w:rsidR="00E7549F" w:rsidRDefault="00E7549F" w:rsidP="00AE1628">
      <w:pPr>
        <w:pBdr>
          <w:bottom w:val="single" w:sz="4" w:space="1" w:color="auto"/>
        </w:pBd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Courier New"/>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516241"/>
      <w:docPartObj>
        <w:docPartGallery w:val="Page Numbers (Bottom of Page)"/>
        <w:docPartUnique/>
      </w:docPartObj>
    </w:sdtPr>
    <w:sdtEndPr>
      <w:rPr>
        <w:rFonts w:ascii="Arial" w:hAnsi="Arial" w:cs="Arial"/>
        <w:noProof/>
        <w:sz w:val="18"/>
        <w:szCs w:val="18"/>
        <w:highlight w:val="yellow"/>
      </w:rPr>
    </w:sdtEndPr>
    <w:sdtContent>
      <w:p w14:paraId="0236C4C0" w14:textId="77777777" w:rsidR="00634930" w:rsidRDefault="00634930" w:rsidP="0078054C">
        <w:pPr>
          <w:pStyle w:val="Footer"/>
          <w:jc w:val="right"/>
        </w:pPr>
      </w:p>
      <w:p w14:paraId="666D0158" w14:textId="15BFE98A" w:rsidR="00634930" w:rsidRPr="00BF113B" w:rsidRDefault="00634930" w:rsidP="00BF113B">
        <w:pPr>
          <w:pStyle w:val="Footer"/>
          <w:rPr>
            <w:rFonts w:ascii="Arial" w:hAnsi="Arial" w:cs="Arial"/>
            <w:noProof/>
            <w:sz w:val="18"/>
            <w:szCs w:val="18"/>
            <w:highlight w:val="yellow"/>
          </w:rPr>
        </w:pPr>
        <w:r w:rsidRPr="007E00B0">
          <w:rPr>
            <w:rFonts w:ascii="Arial" w:hAnsi="Arial" w:cs="Arial"/>
            <w:sz w:val="18"/>
            <w:szCs w:val="18"/>
            <w:highlight w:val="yellow"/>
          </w:rPr>
          <w:fldChar w:fldCharType="begin"/>
        </w:r>
        <w:r w:rsidRPr="007E00B0">
          <w:rPr>
            <w:rFonts w:ascii="Arial" w:hAnsi="Arial" w:cs="Arial"/>
            <w:sz w:val="18"/>
            <w:szCs w:val="18"/>
            <w:highlight w:val="yellow"/>
          </w:rPr>
          <w:instrText xml:space="preserve"> PAGE   \* MERGEFORMAT </w:instrText>
        </w:r>
        <w:r w:rsidRPr="007E00B0">
          <w:rPr>
            <w:rFonts w:ascii="Arial" w:hAnsi="Arial" w:cs="Arial"/>
            <w:sz w:val="18"/>
            <w:szCs w:val="18"/>
            <w:highlight w:val="yellow"/>
          </w:rPr>
          <w:fldChar w:fldCharType="separate"/>
        </w:r>
        <w:r>
          <w:rPr>
            <w:rFonts w:ascii="Arial" w:hAnsi="Arial" w:cs="Arial"/>
            <w:noProof/>
            <w:sz w:val="18"/>
            <w:szCs w:val="18"/>
            <w:highlight w:val="yellow"/>
          </w:rPr>
          <w:t>2</w:t>
        </w:r>
        <w:r w:rsidRPr="007E00B0">
          <w:rPr>
            <w:rFonts w:ascii="Arial" w:hAnsi="Arial" w:cs="Arial"/>
            <w:noProof/>
            <w:sz w:val="18"/>
            <w:szCs w:val="18"/>
            <w:highlight w:val="yellow"/>
          </w:rPr>
          <w:fldChar w:fldCharType="end"/>
        </w:r>
        <w:r w:rsidRPr="007E00B0">
          <w:rPr>
            <w:rFonts w:ascii="Arial" w:hAnsi="Arial" w:cs="Arial"/>
            <w:noProof/>
            <w:sz w:val="18"/>
            <w:szCs w:val="18"/>
            <w:highlight w:val="yellow"/>
          </w:rPr>
          <w:t xml:space="preserve">  </w:t>
        </w:r>
        <w:r>
          <w:rPr>
            <w:rFonts w:ascii="Arial" w:hAnsi="Arial" w:cs="Arial"/>
            <w:noProof/>
            <w:sz w:val="18"/>
            <w:szCs w:val="18"/>
            <w:highlight w:val="yellow"/>
          </w:rPr>
          <w:t xml:space="preserve">              </w:t>
        </w:r>
        <w:r>
          <w:rPr>
            <w:rFonts w:ascii="Arial" w:hAnsi="Arial" w:cs="Arial"/>
            <w:noProof/>
            <w:sz w:val="18"/>
            <w:szCs w:val="18"/>
            <w:highlight w:val="yellow"/>
          </w:rPr>
          <w:tab/>
        </w:r>
        <w:r>
          <w:rPr>
            <w:rFonts w:ascii="Arial" w:hAnsi="Arial" w:cs="Arial"/>
            <w:noProof/>
            <w:sz w:val="18"/>
            <w:szCs w:val="18"/>
            <w:highlight w:val="yellow"/>
          </w:rPr>
          <w:tab/>
          <w:t xml:space="preserve">   </w:t>
        </w:r>
        <w:r>
          <w:rPr>
            <w:rFonts w:ascii="Arial" w:hAnsi="Arial" w:cs="Arial"/>
            <w:noProof/>
            <w:sz w:val="18"/>
            <w:szCs w:val="18"/>
            <w:highlight w:val="yellow"/>
          </w:rPr>
          <w:tab/>
          <w:t xml:space="preserve">                          </w:t>
        </w:r>
        <w:r w:rsidRPr="00040FBD">
          <w:rPr>
            <w:rFonts w:ascii="Arial" w:hAnsi="Arial" w:cs="Arial"/>
            <w:sz w:val="16"/>
            <w:szCs w:val="16"/>
            <w:highlight w:val="yellow"/>
          </w:rPr>
          <w:t>https://www.journalofexpertise.org</w:t>
        </w:r>
        <w:r>
          <w:rPr>
            <w:rFonts w:ascii="Arial" w:hAnsi="Arial" w:cs="Arial"/>
            <w:sz w:val="16"/>
            <w:szCs w:val="16"/>
            <w:highlight w:val="yellow"/>
          </w:rPr>
          <w:br/>
          <w:t xml:space="preserve">                                </w:t>
        </w:r>
        <w:r>
          <w:rPr>
            <w:rFonts w:ascii="Arial" w:hAnsi="Arial" w:cs="Arial"/>
            <w:sz w:val="16"/>
            <w:szCs w:val="16"/>
            <w:highlight w:val="yellow"/>
          </w:rPr>
          <w:tab/>
        </w:r>
        <w:r>
          <w:rPr>
            <w:rFonts w:ascii="Arial" w:hAnsi="Arial" w:cs="Arial"/>
            <w:sz w:val="16"/>
            <w:szCs w:val="16"/>
            <w:highlight w:val="yellow"/>
          </w:rPr>
          <w:tab/>
          <w:t xml:space="preserve">    </w:t>
        </w:r>
        <w:r w:rsidRPr="00040FBD">
          <w:rPr>
            <w:rFonts w:ascii="Arial" w:hAnsi="Arial" w:cs="Arial"/>
            <w:sz w:val="16"/>
            <w:szCs w:val="16"/>
            <w:highlight w:val="yellow"/>
          </w:rPr>
          <w:t xml:space="preserve">Journal of Expertise / </w:t>
        </w:r>
        <w:r>
          <w:rPr>
            <w:rFonts w:ascii="Arial" w:hAnsi="Arial" w:cs="Arial"/>
            <w:sz w:val="16"/>
            <w:szCs w:val="16"/>
            <w:highlight w:val="yellow"/>
          </w:rPr>
          <w:t>Date</w:t>
        </w:r>
        <w:r w:rsidRPr="00040FBD">
          <w:rPr>
            <w:rFonts w:ascii="Arial" w:hAnsi="Arial" w:cs="Arial"/>
            <w:sz w:val="16"/>
            <w:szCs w:val="16"/>
            <w:highlight w:val="yellow"/>
          </w:rPr>
          <w:t>/ vol 1, no. 1</w:t>
        </w:r>
        <w:r>
          <w:rPr>
            <w:rFonts w:ascii="Arial" w:hAnsi="Arial" w:cs="Arial"/>
            <w:sz w:val="16"/>
            <w:szCs w:val="16"/>
          </w:rPr>
          <w:t xml:space="preserve"> </w:t>
        </w:r>
      </w:p>
      <w:p w14:paraId="1D997A2F" w14:textId="6E3E486A" w:rsidR="00634930" w:rsidRPr="00424B68" w:rsidRDefault="00E7549F" w:rsidP="00424B68">
        <w:pPr>
          <w:pStyle w:val="Footer"/>
          <w:rPr>
            <w:rFonts w:ascii="Arial" w:hAnsi="Arial" w:cs="Arial"/>
            <w:sz w:val="18"/>
            <w:szCs w:val="18"/>
          </w:rPr>
        </w:pPr>
      </w:p>
    </w:sdtContent>
  </w:sdt>
  <w:p w14:paraId="26A599B3" w14:textId="77777777" w:rsidR="00634930" w:rsidRDefault="00634930"/>
  <w:p w14:paraId="304DF76A" w14:textId="77777777" w:rsidR="00634930" w:rsidRDefault="0063493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84746" w14:textId="6B6B1BAC" w:rsidR="00634930" w:rsidRDefault="00750971" w:rsidP="000864CE">
    <w:pPr>
      <w:pStyle w:val="Footer"/>
      <w:pBdr>
        <w:top w:val="single" w:sz="4" w:space="1" w:color="auto"/>
      </w:pBdr>
      <w:tabs>
        <w:tab w:val="clear" w:pos="9360"/>
        <w:tab w:val="right" w:pos="10080"/>
      </w:tabs>
    </w:pPr>
    <w:r>
      <w:rPr>
        <w:rFonts w:ascii="Arial" w:hAnsi="Arial" w:cs="Arial"/>
        <w:sz w:val="16"/>
        <w:szCs w:val="16"/>
      </w:rPr>
      <w:ptab w:relativeTo="margin" w:alignment="left" w:leader="none"/>
    </w:r>
    <w:r>
      <w:rPr>
        <w:rFonts w:ascii="Arial" w:hAnsi="Arial" w:cs="Arial"/>
        <w:sz w:val="16"/>
        <w:szCs w:val="16"/>
      </w:rPr>
      <w:ptab w:relativeTo="margin" w:alignment="left" w:leader="none"/>
    </w:r>
    <w:r w:rsidR="00634930" w:rsidRPr="00723B2D">
      <w:rPr>
        <w:rFonts w:ascii="Arial" w:hAnsi="Arial" w:cs="Arial"/>
        <w:sz w:val="16"/>
        <w:szCs w:val="16"/>
      </w:rPr>
      <w:fldChar w:fldCharType="begin"/>
    </w:r>
    <w:r w:rsidR="00634930" w:rsidRPr="00723B2D">
      <w:rPr>
        <w:rFonts w:ascii="Arial" w:hAnsi="Arial" w:cs="Arial"/>
        <w:sz w:val="16"/>
        <w:szCs w:val="16"/>
      </w:rPr>
      <w:instrText xml:space="preserve"> PAGE   \* MERGEFORMAT </w:instrText>
    </w:r>
    <w:r w:rsidR="00634930" w:rsidRPr="00723B2D">
      <w:rPr>
        <w:rFonts w:ascii="Arial" w:hAnsi="Arial" w:cs="Arial"/>
        <w:sz w:val="16"/>
        <w:szCs w:val="16"/>
      </w:rPr>
      <w:fldChar w:fldCharType="separate"/>
    </w:r>
    <w:r w:rsidR="00634930">
      <w:rPr>
        <w:rFonts w:ascii="Arial" w:hAnsi="Arial" w:cs="Arial"/>
        <w:noProof/>
        <w:sz w:val="16"/>
        <w:szCs w:val="16"/>
      </w:rPr>
      <w:t>7</w:t>
    </w:r>
    <w:r w:rsidR="00634930" w:rsidRPr="00723B2D">
      <w:rPr>
        <w:rFonts w:ascii="Arial" w:hAnsi="Arial" w:cs="Arial"/>
        <w:noProof/>
        <w:sz w:val="16"/>
        <w:szCs w:val="16"/>
      </w:rPr>
      <w:fldChar w:fldCharType="end"/>
    </w:r>
    <w:r w:rsidR="00634930">
      <w:rPr>
        <w:rFonts w:ascii="Arial" w:hAnsi="Arial" w:cs="Arial"/>
        <w:noProof/>
        <w:sz w:val="16"/>
        <w:szCs w:val="16"/>
      </w:rPr>
      <w:t xml:space="preserve">                                                                                                                                                                      </w:t>
    </w:r>
    <w:r>
      <w:rPr>
        <w:rFonts w:ascii="Arial" w:hAnsi="Arial" w:cs="Arial"/>
        <w:noProof/>
        <w:sz w:val="16"/>
        <w:szCs w:val="16"/>
      </w:rPr>
      <w:ptab w:relativeTo="margin" w:alignment="right" w:leader="none"/>
    </w:r>
    <w:r w:rsidR="00634930" w:rsidRPr="00723B2D">
      <w:rPr>
        <w:rFonts w:ascii="Arial" w:hAnsi="Arial" w:cs="Arial"/>
        <w:sz w:val="16"/>
        <w:szCs w:val="16"/>
      </w:rPr>
      <w:t xml:space="preserve">https://www.journalofexpertise.org                                                                                                                      </w:t>
    </w:r>
    <w:r w:rsidR="00634930">
      <w:rPr>
        <w:rFonts w:ascii="Arial" w:hAnsi="Arial" w:cs="Arial"/>
        <w:sz w:val="16"/>
        <w:szCs w:val="16"/>
      </w:rPr>
      <w:t xml:space="preserve">                                                  </w:t>
    </w:r>
    <w:r w:rsidR="00634930">
      <w:rPr>
        <w:rFonts w:ascii="Arial" w:hAnsi="Arial" w:cs="Arial"/>
        <w:noProof/>
        <w:sz w:val="16"/>
        <w:szCs w:val="16"/>
      </w:rPr>
      <w:br/>
      <w:t xml:space="preserve">                                                                                                                                               Journal of Expertise </w:t>
    </w:r>
    <w:r w:rsidR="00634930" w:rsidRPr="00B8461C">
      <w:rPr>
        <w:rFonts w:ascii="Arial" w:hAnsi="Arial" w:cs="Arial"/>
        <w:noProof/>
        <w:sz w:val="16"/>
        <w:szCs w:val="16"/>
      </w:rPr>
      <w:t xml:space="preserve">/ </w:t>
    </w:r>
    <w:r w:rsidR="00B8461C" w:rsidRPr="00B8461C">
      <w:rPr>
        <w:rFonts w:ascii="Arial" w:hAnsi="Arial" w:cs="Arial"/>
        <w:noProof/>
        <w:sz w:val="16"/>
        <w:szCs w:val="16"/>
      </w:rPr>
      <w:t>September</w:t>
    </w:r>
    <w:r>
      <w:rPr>
        <w:rFonts w:ascii="Arial" w:hAnsi="Arial" w:cs="Arial"/>
        <w:noProof/>
        <w:sz w:val="16"/>
        <w:szCs w:val="16"/>
      </w:rPr>
      <w:t xml:space="preserve"> </w:t>
    </w:r>
    <w:r w:rsidR="00634930">
      <w:rPr>
        <w:rFonts w:ascii="Arial" w:hAnsi="Arial" w:cs="Arial"/>
        <w:noProof/>
        <w:sz w:val="16"/>
        <w:szCs w:val="16"/>
      </w:rPr>
      <w:t xml:space="preserve">2018 / vol. </w:t>
    </w:r>
    <w:r>
      <w:rPr>
        <w:rFonts w:ascii="Arial" w:hAnsi="Arial" w:cs="Arial"/>
        <w:noProof/>
        <w:sz w:val="16"/>
        <w:szCs w:val="16"/>
      </w:rPr>
      <w:t>1</w:t>
    </w:r>
    <w:r w:rsidR="00634930">
      <w:rPr>
        <w:rFonts w:ascii="Arial" w:hAnsi="Arial" w:cs="Arial"/>
        <w:noProof/>
        <w:sz w:val="16"/>
        <w:szCs w:val="16"/>
      </w:rPr>
      <w:t xml:space="preserve">, no. </w:t>
    </w:r>
    <w:r>
      <w:rPr>
        <w:rFonts w:ascii="Arial" w:hAnsi="Arial" w:cs="Arial"/>
        <w:noProof/>
        <w:sz w:val="16"/>
        <w:szCs w:val="16"/>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80218" w14:textId="49BFAD8E" w:rsidR="00634930" w:rsidRPr="00343A55" w:rsidRDefault="00750971" w:rsidP="00343A55">
    <w:pPr>
      <w:pStyle w:val="Footer"/>
      <w:pBdr>
        <w:top w:val="single" w:sz="4" w:space="1" w:color="auto"/>
      </w:pBdr>
      <w:tabs>
        <w:tab w:val="clear" w:pos="9360"/>
        <w:tab w:val="right" w:pos="10080"/>
      </w:tabs>
      <w:rPr>
        <w:rFonts w:ascii="Arial" w:hAnsi="Arial" w:cs="Arial"/>
        <w:sz w:val="16"/>
        <w:szCs w:val="16"/>
      </w:rPr>
    </w:pPr>
    <w:r>
      <w:rPr>
        <w:rFonts w:ascii="Arial" w:hAnsi="Arial" w:cs="Arial"/>
        <w:sz w:val="16"/>
        <w:szCs w:val="16"/>
      </w:rPr>
      <w:ptab w:relativeTo="margin" w:alignment="left" w:leader="none"/>
    </w:r>
    <w:r>
      <w:rPr>
        <w:rFonts w:ascii="Arial" w:hAnsi="Arial" w:cs="Arial"/>
        <w:sz w:val="16"/>
        <w:szCs w:val="16"/>
      </w:rPr>
      <w:ptab w:relativeTo="margin" w:alignment="left" w:leader="none"/>
    </w:r>
    <w:r w:rsidR="009608A5" w:rsidRPr="009608A5">
      <w:rPr>
        <w:rFonts w:ascii="Arial" w:hAnsi="Arial" w:cs="Arial"/>
        <w:sz w:val="16"/>
        <w:szCs w:val="16"/>
      </w:rPr>
      <w:fldChar w:fldCharType="begin"/>
    </w:r>
    <w:r w:rsidR="009608A5" w:rsidRPr="009608A5">
      <w:rPr>
        <w:rFonts w:ascii="Arial" w:hAnsi="Arial" w:cs="Arial"/>
        <w:sz w:val="16"/>
        <w:szCs w:val="16"/>
      </w:rPr>
      <w:instrText xml:space="preserve"> PAGE   \* MERGEFORMAT </w:instrText>
    </w:r>
    <w:r w:rsidR="009608A5" w:rsidRPr="009608A5">
      <w:rPr>
        <w:rFonts w:ascii="Arial" w:hAnsi="Arial" w:cs="Arial"/>
        <w:sz w:val="16"/>
        <w:szCs w:val="16"/>
      </w:rPr>
      <w:fldChar w:fldCharType="separate"/>
    </w:r>
    <w:r w:rsidR="009608A5" w:rsidRPr="009608A5">
      <w:rPr>
        <w:rFonts w:ascii="Arial" w:hAnsi="Arial" w:cs="Arial"/>
        <w:noProof/>
        <w:sz w:val="16"/>
        <w:szCs w:val="16"/>
      </w:rPr>
      <w:t>1</w:t>
    </w:r>
    <w:r w:rsidR="009608A5" w:rsidRPr="009608A5">
      <w:rPr>
        <w:rFonts w:ascii="Arial" w:hAnsi="Arial" w:cs="Arial"/>
        <w:noProof/>
        <w:sz w:val="16"/>
        <w:szCs w:val="16"/>
      </w:rPr>
      <w:fldChar w:fldCharType="end"/>
    </w:r>
    <w:r w:rsidR="00634930" w:rsidRPr="000864CE">
      <w:rPr>
        <w:rFonts w:ascii="Arial" w:hAnsi="Arial" w:cs="Arial"/>
        <w:noProof/>
        <w:sz w:val="16"/>
        <w:szCs w:val="16"/>
      </w:rPr>
      <w:t xml:space="preserve">                                                                                                                                                                  </w:t>
    </w:r>
    <w:r w:rsidR="00634930">
      <w:rPr>
        <w:rFonts w:ascii="Arial" w:hAnsi="Arial" w:cs="Arial"/>
        <w:noProof/>
        <w:sz w:val="16"/>
        <w:szCs w:val="16"/>
      </w:rPr>
      <w:t xml:space="preserve">   </w:t>
    </w:r>
    <w:r>
      <w:rPr>
        <w:rFonts w:ascii="Arial" w:hAnsi="Arial" w:cs="Arial"/>
        <w:noProof/>
        <w:sz w:val="16"/>
        <w:szCs w:val="16"/>
      </w:rPr>
      <w:ptab w:relativeTo="margin" w:alignment="right" w:leader="none"/>
    </w:r>
    <w:r w:rsidR="00634930" w:rsidRPr="000864CE">
      <w:rPr>
        <w:rFonts w:ascii="Arial" w:hAnsi="Arial" w:cs="Arial"/>
        <w:sz w:val="16"/>
        <w:szCs w:val="16"/>
      </w:rPr>
      <w:t xml:space="preserve">https://www.journalofexpertise.org                                                                                                                                                 </w:t>
    </w:r>
    <w:r w:rsidR="00634930" w:rsidRPr="000864CE">
      <w:rPr>
        <w:rFonts w:ascii="Arial" w:hAnsi="Arial" w:cs="Arial"/>
        <w:noProof/>
        <w:sz w:val="16"/>
        <w:szCs w:val="16"/>
      </w:rPr>
      <w:br/>
      <w:t xml:space="preserve">                                                                                                                                              Journal of Expertise / </w:t>
    </w:r>
    <w:r w:rsidR="00B8461C" w:rsidRPr="00B8461C">
      <w:rPr>
        <w:rFonts w:ascii="Arial" w:hAnsi="Arial" w:cs="Arial"/>
        <w:noProof/>
        <w:sz w:val="16"/>
        <w:szCs w:val="16"/>
      </w:rPr>
      <w:t xml:space="preserve">September </w:t>
    </w:r>
    <w:r w:rsidR="00634930" w:rsidRPr="00B8461C">
      <w:rPr>
        <w:rFonts w:ascii="Arial" w:hAnsi="Arial" w:cs="Arial"/>
        <w:noProof/>
        <w:sz w:val="16"/>
        <w:szCs w:val="16"/>
      </w:rPr>
      <w:t xml:space="preserve"> 2018</w:t>
    </w:r>
    <w:r w:rsidR="00634930" w:rsidRPr="000864CE">
      <w:rPr>
        <w:rFonts w:ascii="Arial" w:hAnsi="Arial" w:cs="Arial"/>
        <w:noProof/>
        <w:sz w:val="16"/>
        <w:szCs w:val="16"/>
      </w:rPr>
      <w:t xml:space="preserve"> / vol. </w:t>
    </w:r>
    <w:r>
      <w:rPr>
        <w:rFonts w:ascii="Arial" w:hAnsi="Arial" w:cs="Arial"/>
        <w:noProof/>
        <w:sz w:val="16"/>
        <w:szCs w:val="16"/>
      </w:rPr>
      <w:t>1</w:t>
    </w:r>
    <w:r w:rsidR="00634930" w:rsidRPr="000864CE">
      <w:rPr>
        <w:rFonts w:ascii="Arial" w:hAnsi="Arial" w:cs="Arial"/>
        <w:noProof/>
        <w:sz w:val="16"/>
        <w:szCs w:val="16"/>
      </w:rPr>
      <w:t xml:space="preserve">, no. </w:t>
    </w:r>
    <w:r>
      <w:rPr>
        <w:rFonts w:ascii="Arial" w:hAnsi="Arial" w:cs="Arial"/>
        <w:noProof/>
        <w:sz w:val="16"/>
        <w:szCs w:val="16"/>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highlight w:val="yellow"/>
      </w:rPr>
      <w:id w:val="822706107"/>
      <w:docPartObj>
        <w:docPartGallery w:val="Page Numbers (Bottom of Page)"/>
        <w:docPartUnique/>
      </w:docPartObj>
    </w:sdtPr>
    <w:sdtEndPr>
      <w:rPr>
        <w:rFonts w:ascii="Arial" w:hAnsi="Arial" w:cs="Arial"/>
        <w:noProof/>
        <w:sz w:val="18"/>
        <w:szCs w:val="18"/>
        <w:highlight w:val="none"/>
      </w:rPr>
    </w:sdtEndPr>
    <w:sdtContent>
      <w:p w14:paraId="4715E75B" w14:textId="2239351F" w:rsidR="00634930" w:rsidRPr="00754C94" w:rsidRDefault="00634930" w:rsidP="00A65E91">
        <w:pPr>
          <w:pStyle w:val="Footer"/>
          <w:pBdr>
            <w:top w:val="single" w:sz="4" w:space="1" w:color="auto"/>
          </w:pBdr>
          <w:rPr>
            <w:rFonts w:ascii="Arial" w:hAnsi="Arial" w:cs="Arial"/>
            <w:sz w:val="16"/>
            <w:szCs w:val="16"/>
          </w:rPr>
        </w:pPr>
        <w:r w:rsidRPr="00754C94">
          <w:rPr>
            <w:rFonts w:ascii="Arial" w:hAnsi="Arial" w:cs="Arial"/>
            <w:sz w:val="16"/>
            <w:szCs w:val="16"/>
          </w:rPr>
          <w:t xml:space="preserve">https://www.journalofexpertise.org                                                                                                                                                                     </w:t>
        </w:r>
        <w:r w:rsidR="009608A5" w:rsidRPr="009608A5">
          <w:rPr>
            <w:rFonts w:ascii="Arial" w:hAnsi="Arial" w:cs="Arial"/>
            <w:sz w:val="18"/>
            <w:szCs w:val="18"/>
          </w:rPr>
          <w:fldChar w:fldCharType="begin"/>
        </w:r>
        <w:r w:rsidR="009608A5" w:rsidRPr="009608A5">
          <w:rPr>
            <w:rFonts w:ascii="Arial" w:hAnsi="Arial" w:cs="Arial"/>
            <w:sz w:val="18"/>
            <w:szCs w:val="18"/>
          </w:rPr>
          <w:instrText xml:space="preserve"> PAGE   \* MERGEFORMAT </w:instrText>
        </w:r>
        <w:r w:rsidR="009608A5" w:rsidRPr="009608A5">
          <w:rPr>
            <w:rFonts w:ascii="Arial" w:hAnsi="Arial" w:cs="Arial"/>
            <w:sz w:val="18"/>
            <w:szCs w:val="18"/>
          </w:rPr>
          <w:fldChar w:fldCharType="separate"/>
        </w:r>
        <w:r w:rsidR="009608A5" w:rsidRPr="009608A5">
          <w:rPr>
            <w:rFonts w:ascii="Arial" w:hAnsi="Arial" w:cs="Arial"/>
            <w:noProof/>
            <w:sz w:val="18"/>
            <w:szCs w:val="18"/>
          </w:rPr>
          <w:t>1</w:t>
        </w:r>
        <w:r w:rsidR="009608A5" w:rsidRPr="009608A5">
          <w:rPr>
            <w:rFonts w:ascii="Arial" w:hAnsi="Arial" w:cs="Arial"/>
            <w:noProof/>
            <w:sz w:val="18"/>
            <w:szCs w:val="18"/>
          </w:rPr>
          <w:fldChar w:fldCharType="end"/>
        </w:r>
        <w:r w:rsidRPr="00754C94">
          <w:rPr>
            <w:rFonts w:ascii="Arial" w:hAnsi="Arial" w:cs="Arial"/>
            <w:sz w:val="16"/>
            <w:szCs w:val="16"/>
          </w:rPr>
          <w:t xml:space="preserve">                        Journal of Expertise / </w:t>
        </w:r>
        <w:r w:rsidR="00B8461C" w:rsidRPr="00B8461C">
          <w:rPr>
            <w:rFonts w:ascii="Arial" w:hAnsi="Arial" w:cs="Arial"/>
            <w:noProof/>
            <w:sz w:val="16"/>
            <w:szCs w:val="16"/>
          </w:rPr>
          <w:t>September</w:t>
        </w:r>
        <w:r w:rsidRPr="000864CE">
          <w:rPr>
            <w:rFonts w:ascii="Arial" w:hAnsi="Arial" w:cs="Arial"/>
            <w:noProof/>
            <w:sz w:val="16"/>
            <w:szCs w:val="16"/>
          </w:rPr>
          <w:t xml:space="preserve"> 2018</w:t>
        </w:r>
        <w:r>
          <w:rPr>
            <w:rFonts w:ascii="Arial" w:hAnsi="Arial" w:cs="Arial"/>
            <w:noProof/>
            <w:sz w:val="16"/>
            <w:szCs w:val="16"/>
          </w:rPr>
          <w:t xml:space="preserve"> </w:t>
        </w:r>
        <w:r w:rsidRPr="00754C94">
          <w:rPr>
            <w:rFonts w:ascii="Arial" w:hAnsi="Arial" w:cs="Arial"/>
            <w:sz w:val="16"/>
            <w:szCs w:val="16"/>
          </w:rPr>
          <w:t xml:space="preserve">/ vol. </w:t>
        </w:r>
        <w:r w:rsidR="00750971">
          <w:rPr>
            <w:rFonts w:ascii="Arial" w:hAnsi="Arial" w:cs="Arial"/>
            <w:sz w:val="16"/>
            <w:szCs w:val="16"/>
          </w:rPr>
          <w:t>1</w:t>
        </w:r>
        <w:r w:rsidRPr="00754C94">
          <w:rPr>
            <w:rFonts w:ascii="Arial" w:hAnsi="Arial" w:cs="Arial"/>
            <w:sz w:val="16"/>
            <w:szCs w:val="16"/>
          </w:rPr>
          <w:t xml:space="preserve">, no. </w:t>
        </w:r>
        <w:r w:rsidR="00750971">
          <w:rPr>
            <w:rFonts w:ascii="Arial" w:hAnsi="Arial" w:cs="Arial"/>
            <w:sz w:val="16"/>
            <w:szCs w:val="16"/>
          </w:rPr>
          <w:t>2</w:t>
        </w:r>
        <w:r w:rsidRPr="00754C94">
          <w:rPr>
            <w:rFonts w:ascii="Arial" w:hAnsi="Arial" w:cs="Arial"/>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D8414" w14:textId="77777777" w:rsidR="00E7549F" w:rsidRDefault="00E7549F" w:rsidP="00AE1628">
      <w:pPr>
        <w:pBdr>
          <w:bottom w:val="single" w:sz="4" w:space="1" w:color="auto"/>
        </w:pBdr>
        <w:spacing w:after="0" w:line="240" w:lineRule="auto"/>
      </w:pPr>
      <w:r>
        <w:separator/>
      </w:r>
    </w:p>
    <w:p w14:paraId="31A0D1AD" w14:textId="77777777" w:rsidR="00E7549F" w:rsidRDefault="00E7549F" w:rsidP="00AE1628">
      <w:pPr>
        <w:pBdr>
          <w:bottom w:val="single" w:sz="4" w:space="1" w:color="auto"/>
        </w:pBdr>
      </w:pPr>
    </w:p>
    <w:p w14:paraId="0198AE98" w14:textId="77777777" w:rsidR="00E7549F" w:rsidRDefault="00E7549F" w:rsidP="00AE1628">
      <w:pPr>
        <w:pBdr>
          <w:bottom w:val="single" w:sz="4" w:space="1" w:color="auto"/>
        </w:pBdr>
      </w:pPr>
    </w:p>
  </w:footnote>
  <w:footnote w:type="continuationSeparator" w:id="0">
    <w:p w14:paraId="08FE7180" w14:textId="77777777" w:rsidR="00E7549F" w:rsidRDefault="00E7549F" w:rsidP="00AE1628">
      <w:pPr>
        <w:pBdr>
          <w:bottom w:val="single" w:sz="4" w:space="1" w:color="auto"/>
        </w:pBdr>
        <w:spacing w:after="0" w:line="240" w:lineRule="auto"/>
      </w:pPr>
      <w:r>
        <w:continuationSeparator/>
      </w:r>
    </w:p>
    <w:p w14:paraId="2454FBB7" w14:textId="77777777" w:rsidR="00E7549F" w:rsidRDefault="00E7549F" w:rsidP="00AE1628">
      <w:pPr>
        <w:pBdr>
          <w:bottom w:val="single" w:sz="4" w:space="1" w:color="auto"/>
        </w:pBdr>
      </w:pPr>
    </w:p>
    <w:p w14:paraId="6B496881" w14:textId="77777777" w:rsidR="00E7549F" w:rsidRDefault="00E7549F" w:rsidP="00AE1628">
      <w:pPr>
        <w:pBdr>
          <w:bottom w:val="single" w:sz="4" w:space="1" w:color="auto"/>
        </w:pBd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88031" w14:textId="02150F7D" w:rsidR="00634930" w:rsidRDefault="00634930" w:rsidP="00AE1628">
    <w:pPr>
      <w:pBdr>
        <w:bottom w:val="single" w:sz="4" w:space="1" w:color="auto"/>
      </w:pBdr>
      <w:rPr>
        <w:rFonts w:ascii="Arial" w:hAnsi="Arial" w:cs="Arial"/>
        <w:i/>
        <w:sz w:val="16"/>
        <w:szCs w:val="16"/>
      </w:rPr>
    </w:pPr>
  </w:p>
  <w:p w14:paraId="2379B1CD" w14:textId="5506E4C9" w:rsidR="00634930" w:rsidRPr="00FE13CE" w:rsidRDefault="003859E8" w:rsidP="00AE1628">
    <w:pPr>
      <w:pBdr>
        <w:bottom w:val="single" w:sz="4" w:space="1" w:color="auto"/>
      </w:pBdr>
      <w:rPr>
        <w:rFonts w:ascii="Arial" w:hAnsi="Arial" w:cs="Arial"/>
        <w:i/>
        <w:sz w:val="16"/>
        <w:szCs w:val="16"/>
      </w:rPr>
    </w:pPr>
    <w:r>
      <w:rPr>
        <w:rFonts w:ascii="Arial" w:hAnsi="Arial" w:cs="Arial"/>
        <w:i/>
        <w:sz w:val="16"/>
        <w:szCs w:val="16"/>
      </w:rPr>
      <w:t>Future of Expertise Is Multidisciplinary</w:t>
    </w:r>
    <w:r w:rsidR="00634930" w:rsidRPr="00FE13CE">
      <w:rPr>
        <w:rFonts w:ascii="Arial" w:hAnsi="Arial" w:cs="Arial"/>
        <w:i/>
        <w:sz w:val="16"/>
        <w:szCs w:val="16"/>
      </w:rPr>
      <w:tab/>
    </w:r>
    <w:r w:rsidR="00634930" w:rsidRPr="00FE13CE">
      <w:rPr>
        <w:rFonts w:ascii="Arial" w:hAnsi="Arial" w:cs="Arial"/>
        <w:i/>
        <w:sz w:val="16"/>
        <w:szCs w:val="16"/>
      </w:rPr>
      <w:tab/>
    </w:r>
    <w:r w:rsidR="00634930" w:rsidRPr="00FE13CE">
      <w:rPr>
        <w:rFonts w:ascii="Arial" w:hAnsi="Arial" w:cs="Arial"/>
        <w:i/>
        <w:sz w:val="16"/>
        <w:szCs w:val="16"/>
      </w:rPr>
      <w:tab/>
    </w:r>
    <w:r w:rsidR="00634930" w:rsidRPr="00FE13CE">
      <w:rPr>
        <w:rFonts w:ascii="Arial" w:hAnsi="Arial" w:cs="Arial"/>
        <w:i/>
        <w:sz w:val="16"/>
        <w:szCs w:val="16"/>
      </w:rPr>
      <w:tab/>
    </w:r>
    <w:r w:rsidR="00634930" w:rsidRPr="00FE13CE">
      <w:rPr>
        <w:rFonts w:ascii="Arial" w:hAnsi="Arial" w:cs="Arial"/>
        <w:i/>
        <w:sz w:val="16"/>
        <w:szCs w:val="16"/>
      </w:rPr>
      <w:tab/>
    </w:r>
    <w:r w:rsidR="00634930" w:rsidRPr="00FE13CE">
      <w:rPr>
        <w:rFonts w:ascii="Arial" w:hAnsi="Arial" w:cs="Arial"/>
        <w:i/>
        <w:sz w:val="16"/>
        <w:szCs w:val="16"/>
      </w:rPr>
      <w:tab/>
    </w:r>
    <w:r w:rsidR="00634930" w:rsidRPr="00FE13CE">
      <w:rPr>
        <w:rFonts w:ascii="Arial" w:hAnsi="Arial" w:cs="Arial"/>
        <w:i/>
        <w:sz w:val="16"/>
        <w:szCs w:val="16"/>
      </w:rPr>
      <w:tab/>
    </w:r>
    <w:r w:rsidR="00634930" w:rsidRPr="00FE13CE">
      <w:rPr>
        <w:rFonts w:ascii="Arial" w:hAnsi="Arial" w:cs="Arial"/>
        <w:i/>
        <w:sz w:val="16"/>
        <w:szCs w:val="16"/>
      </w:rPr>
      <w:tab/>
      <w:t xml:space="preserve">           </w:t>
    </w:r>
    <w:r>
      <w:rPr>
        <w:rFonts w:ascii="Arial" w:hAnsi="Arial" w:cs="Arial"/>
        <w:i/>
        <w:sz w:val="16"/>
        <w:szCs w:val="16"/>
      </w:rPr>
      <w:t xml:space="preserve">                </w:t>
    </w:r>
    <w:proofErr w:type="spellStart"/>
    <w:r>
      <w:rPr>
        <w:rFonts w:ascii="Arial" w:hAnsi="Arial" w:cs="Arial"/>
        <w:sz w:val="16"/>
        <w:szCs w:val="16"/>
      </w:rPr>
      <w:t>Gobet</w:t>
    </w:r>
    <w:proofErr w:type="spellEnd"/>
    <w:r w:rsidR="00634930" w:rsidRPr="00FE13CE">
      <w:rPr>
        <w:rFonts w:ascii="Arial" w:hAnsi="Arial" w:cs="Arial"/>
        <w:sz w:val="16"/>
        <w:szCs w:val="16"/>
      </w:rPr>
      <w:t xml:space="preserve"> (2018)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E8BFA" w14:textId="0831DD5F" w:rsidR="00634930" w:rsidRDefault="00634930" w:rsidP="000864CE">
    <w:pPr>
      <w:pBdr>
        <w:bottom w:val="single" w:sz="4" w:space="1" w:color="auto"/>
      </w:pBdr>
      <w:rPr>
        <w:rFonts w:ascii="Arial" w:hAnsi="Arial" w:cs="Arial"/>
        <w:sz w:val="16"/>
        <w:szCs w:val="16"/>
      </w:rPr>
    </w:pPr>
  </w:p>
  <w:p w14:paraId="58D02EA8" w14:textId="16EE4C31" w:rsidR="00634930" w:rsidRPr="005F78E2" w:rsidRDefault="003859E8" w:rsidP="000864CE">
    <w:pPr>
      <w:pBdr>
        <w:bottom w:val="single" w:sz="4" w:space="1" w:color="auto"/>
      </w:pBdr>
      <w:rPr>
        <w:rFonts w:ascii="Arial" w:hAnsi="Arial" w:cs="Arial"/>
        <w:sz w:val="16"/>
        <w:szCs w:val="16"/>
      </w:rPr>
    </w:pPr>
    <w:proofErr w:type="spellStart"/>
    <w:r>
      <w:rPr>
        <w:rFonts w:ascii="Arial" w:hAnsi="Arial" w:cs="Arial"/>
        <w:sz w:val="16"/>
        <w:szCs w:val="16"/>
      </w:rPr>
      <w:t>Gobet</w:t>
    </w:r>
    <w:proofErr w:type="spellEnd"/>
    <w:r w:rsidR="00CD2D5A" w:rsidRPr="00FE13CE">
      <w:rPr>
        <w:rFonts w:ascii="Arial" w:hAnsi="Arial" w:cs="Arial"/>
        <w:sz w:val="16"/>
        <w:szCs w:val="16"/>
      </w:rPr>
      <w:t xml:space="preserve"> (2018)</w:t>
    </w:r>
    <w:r w:rsidR="00634930" w:rsidRPr="002264DF">
      <w:rPr>
        <w:rFonts w:ascii="Arial" w:hAnsi="Arial" w:cs="Arial"/>
        <w:sz w:val="16"/>
        <w:szCs w:val="16"/>
      </w:rPr>
      <w:tab/>
    </w:r>
    <w:r w:rsidR="00634930" w:rsidRPr="002264DF">
      <w:rPr>
        <w:rFonts w:ascii="Arial" w:hAnsi="Arial" w:cs="Arial"/>
        <w:sz w:val="16"/>
        <w:szCs w:val="16"/>
      </w:rPr>
      <w:tab/>
    </w:r>
    <w:r w:rsidR="00634930" w:rsidRPr="002264DF">
      <w:rPr>
        <w:rFonts w:ascii="Arial" w:hAnsi="Arial" w:cs="Arial"/>
        <w:sz w:val="16"/>
        <w:szCs w:val="16"/>
      </w:rPr>
      <w:tab/>
    </w:r>
    <w:r w:rsidR="00634930" w:rsidRPr="002264DF">
      <w:rPr>
        <w:rFonts w:ascii="Arial" w:hAnsi="Arial" w:cs="Arial"/>
        <w:sz w:val="16"/>
        <w:szCs w:val="16"/>
      </w:rPr>
      <w:tab/>
    </w:r>
    <w:r w:rsidR="00634930" w:rsidRPr="002264DF">
      <w:rPr>
        <w:rFonts w:ascii="Arial" w:hAnsi="Arial" w:cs="Arial"/>
        <w:sz w:val="16"/>
        <w:szCs w:val="16"/>
      </w:rPr>
      <w:tab/>
    </w:r>
    <w:r w:rsidR="00634930" w:rsidRPr="002264DF">
      <w:rPr>
        <w:rFonts w:ascii="Arial" w:hAnsi="Arial" w:cs="Arial"/>
        <w:sz w:val="16"/>
        <w:szCs w:val="16"/>
      </w:rPr>
      <w:tab/>
    </w:r>
    <w:r w:rsidR="00634930" w:rsidRPr="002264DF">
      <w:rPr>
        <w:rFonts w:ascii="Arial" w:hAnsi="Arial" w:cs="Arial"/>
        <w:sz w:val="16"/>
        <w:szCs w:val="16"/>
      </w:rPr>
      <w:tab/>
    </w:r>
    <w:r>
      <w:rPr>
        <w:rFonts w:ascii="Arial" w:hAnsi="Arial" w:cs="Arial"/>
        <w:sz w:val="16"/>
        <w:szCs w:val="16"/>
      </w:rPr>
      <w:t xml:space="preserve">                                    </w:t>
    </w:r>
    <w:r>
      <w:rPr>
        <w:rFonts w:ascii="Arial" w:hAnsi="Arial" w:cs="Arial"/>
        <w:i/>
        <w:sz w:val="16"/>
        <w:szCs w:val="16"/>
      </w:rPr>
      <w:t>Future of Expertise Is Multidisciplinary</w:t>
    </w:r>
    <w:r w:rsidRPr="00FE13CE">
      <w:rPr>
        <w:rFonts w:ascii="Arial" w:hAnsi="Arial" w:cs="Arial"/>
        <w:i/>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327D4" w14:textId="5FBA4492" w:rsidR="00634930" w:rsidRDefault="00634930" w:rsidP="006F53CC">
    <w:pPr>
      <w:pStyle w:val="Header"/>
      <w:pBdr>
        <w:top w:val="none" w:sz="0" w:space="0" w:color="auto"/>
        <w:left w:val="none" w:sz="0" w:space="0" w:color="auto"/>
        <w:bottom w:val="none" w:sz="0" w:space="0" w:color="auto"/>
        <w:right w:val="none" w:sz="0" w:space="0" w:color="auto"/>
        <w:between w:val="none" w:sz="0" w:space="0" w:color="auto"/>
      </w:pBdr>
      <w:tabs>
        <w:tab w:val="center" w:pos="5040"/>
        <w:tab w:val="right" w:pos="10080"/>
      </w:tabs>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p>
  <w:p w14:paraId="1BD56D1E" w14:textId="11A8790F" w:rsidR="00634930" w:rsidRDefault="00634930" w:rsidP="006F53CC">
    <w:pPr>
      <w:pStyle w:val="Header"/>
      <w:pBdr>
        <w:top w:val="none" w:sz="0" w:space="0" w:color="auto"/>
        <w:left w:val="none" w:sz="0" w:space="0" w:color="auto"/>
        <w:bottom w:val="none" w:sz="0" w:space="0" w:color="auto"/>
        <w:right w:val="none" w:sz="0" w:space="0" w:color="auto"/>
        <w:between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140DBD6"/>
    <w:lvl w:ilvl="0">
      <w:start w:val="1"/>
      <w:numFmt w:val="bullet"/>
      <w:pStyle w:val="ListBullet"/>
      <w:lvlText w:val=""/>
      <w:lvlJc w:val="left"/>
      <w:pPr>
        <w:tabs>
          <w:tab w:val="num" w:pos="1980"/>
        </w:tabs>
        <w:ind w:left="1980" w:hanging="360"/>
      </w:pPr>
      <w:rPr>
        <w:rFonts w:ascii="Symbol" w:hAnsi="Symbol" w:hint="default"/>
      </w:rPr>
    </w:lvl>
  </w:abstractNum>
  <w:abstractNum w:abstractNumId="1" w15:restartNumberingAfterBreak="0">
    <w:nsid w:val="0B4F1766"/>
    <w:multiLevelType w:val="hybridMultilevel"/>
    <w:tmpl w:val="9CF4C7FA"/>
    <w:lvl w:ilvl="0" w:tplc="3432E12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AB2ECA"/>
    <w:multiLevelType w:val="hybridMultilevel"/>
    <w:tmpl w:val="59241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9400A"/>
    <w:multiLevelType w:val="hybridMultilevel"/>
    <w:tmpl w:val="E7DA1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190742"/>
    <w:multiLevelType w:val="hybridMultilevel"/>
    <w:tmpl w:val="77E63D08"/>
    <w:lvl w:ilvl="0" w:tplc="7B24A092">
      <w:start w:val="17"/>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257C4AA8"/>
    <w:multiLevelType w:val="hybridMultilevel"/>
    <w:tmpl w:val="BE741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2D1873"/>
    <w:multiLevelType w:val="hybridMultilevel"/>
    <w:tmpl w:val="37CE2D1E"/>
    <w:lvl w:ilvl="0" w:tplc="99A6E73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7B3E5485"/>
    <w:multiLevelType w:val="hybridMultilevel"/>
    <w:tmpl w:val="7226B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7"/>
  </w:num>
  <w:num w:numId="4">
    <w:abstractNumId w:val="5"/>
  </w:num>
  <w:num w:numId="5">
    <w:abstractNumId w:val="4"/>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0B8"/>
    <w:rsid w:val="00005479"/>
    <w:rsid w:val="00007183"/>
    <w:rsid w:val="000146F8"/>
    <w:rsid w:val="00016E67"/>
    <w:rsid w:val="00021CBE"/>
    <w:rsid w:val="000309F5"/>
    <w:rsid w:val="000322B5"/>
    <w:rsid w:val="00036E30"/>
    <w:rsid w:val="00040FBD"/>
    <w:rsid w:val="000412B8"/>
    <w:rsid w:val="00052C96"/>
    <w:rsid w:val="00053374"/>
    <w:rsid w:val="000566BB"/>
    <w:rsid w:val="00062B50"/>
    <w:rsid w:val="000820FE"/>
    <w:rsid w:val="000864CE"/>
    <w:rsid w:val="00090DB0"/>
    <w:rsid w:val="00096104"/>
    <w:rsid w:val="00096B29"/>
    <w:rsid w:val="000A0126"/>
    <w:rsid w:val="000A1A28"/>
    <w:rsid w:val="000A36B8"/>
    <w:rsid w:val="000A3D40"/>
    <w:rsid w:val="000B2859"/>
    <w:rsid w:val="000B7CE8"/>
    <w:rsid w:val="000C0EB1"/>
    <w:rsid w:val="000C1A27"/>
    <w:rsid w:val="000D048C"/>
    <w:rsid w:val="000D0F1E"/>
    <w:rsid w:val="000E372D"/>
    <w:rsid w:val="000E4CCF"/>
    <w:rsid w:val="000E4FED"/>
    <w:rsid w:val="000F086F"/>
    <w:rsid w:val="000F0D1F"/>
    <w:rsid w:val="000F34A8"/>
    <w:rsid w:val="000F714F"/>
    <w:rsid w:val="001018E0"/>
    <w:rsid w:val="001036E4"/>
    <w:rsid w:val="0010541B"/>
    <w:rsid w:val="001079D1"/>
    <w:rsid w:val="00111E12"/>
    <w:rsid w:val="00114A4C"/>
    <w:rsid w:val="00116FA1"/>
    <w:rsid w:val="00127542"/>
    <w:rsid w:val="0013663C"/>
    <w:rsid w:val="0014550A"/>
    <w:rsid w:val="001502D8"/>
    <w:rsid w:val="00157F86"/>
    <w:rsid w:val="00170A26"/>
    <w:rsid w:val="00181583"/>
    <w:rsid w:val="00184D4C"/>
    <w:rsid w:val="00190898"/>
    <w:rsid w:val="00190967"/>
    <w:rsid w:val="00194928"/>
    <w:rsid w:val="00197161"/>
    <w:rsid w:val="001A5EDB"/>
    <w:rsid w:val="001A7AD3"/>
    <w:rsid w:val="001B35B4"/>
    <w:rsid w:val="001B5C24"/>
    <w:rsid w:val="001B5EB2"/>
    <w:rsid w:val="001B7841"/>
    <w:rsid w:val="001C36E2"/>
    <w:rsid w:val="001D0F1D"/>
    <w:rsid w:val="001D7278"/>
    <w:rsid w:val="001D733A"/>
    <w:rsid w:val="001D7495"/>
    <w:rsid w:val="001E1B89"/>
    <w:rsid w:val="001E1DCD"/>
    <w:rsid w:val="001E41A6"/>
    <w:rsid w:val="001E5D6E"/>
    <w:rsid w:val="001F0741"/>
    <w:rsid w:val="001F3A9B"/>
    <w:rsid w:val="0020401D"/>
    <w:rsid w:val="00211067"/>
    <w:rsid w:val="00216658"/>
    <w:rsid w:val="00225302"/>
    <w:rsid w:val="002264DF"/>
    <w:rsid w:val="0022776B"/>
    <w:rsid w:val="0023098B"/>
    <w:rsid w:val="002315FA"/>
    <w:rsid w:val="00252F9F"/>
    <w:rsid w:val="002559BF"/>
    <w:rsid w:val="002703EE"/>
    <w:rsid w:val="0027042C"/>
    <w:rsid w:val="002710FA"/>
    <w:rsid w:val="002732BC"/>
    <w:rsid w:val="002755BD"/>
    <w:rsid w:val="0027706B"/>
    <w:rsid w:val="00284C19"/>
    <w:rsid w:val="00296231"/>
    <w:rsid w:val="002A1FD0"/>
    <w:rsid w:val="002A5FBC"/>
    <w:rsid w:val="002B1360"/>
    <w:rsid w:val="002B63E9"/>
    <w:rsid w:val="002B68AF"/>
    <w:rsid w:val="002B6E33"/>
    <w:rsid w:val="002C2303"/>
    <w:rsid w:val="002C3B41"/>
    <w:rsid w:val="002C7C85"/>
    <w:rsid w:val="002D314D"/>
    <w:rsid w:val="002D3D17"/>
    <w:rsid w:val="002D516C"/>
    <w:rsid w:val="002E786C"/>
    <w:rsid w:val="002F0EF7"/>
    <w:rsid w:val="002F11A7"/>
    <w:rsid w:val="002F189F"/>
    <w:rsid w:val="002F409B"/>
    <w:rsid w:val="002F4914"/>
    <w:rsid w:val="00310D74"/>
    <w:rsid w:val="00322E97"/>
    <w:rsid w:val="00324F09"/>
    <w:rsid w:val="00327D40"/>
    <w:rsid w:val="00330A17"/>
    <w:rsid w:val="00331D03"/>
    <w:rsid w:val="00331F54"/>
    <w:rsid w:val="00332003"/>
    <w:rsid w:val="00343A55"/>
    <w:rsid w:val="00347216"/>
    <w:rsid w:val="00350FC2"/>
    <w:rsid w:val="00352A18"/>
    <w:rsid w:val="00354BB3"/>
    <w:rsid w:val="00366397"/>
    <w:rsid w:val="003669E1"/>
    <w:rsid w:val="0037325E"/>
    <w:rsid w:val="00373EA7"/>
    <w:rsid w:val="003823AA"/>
    <w:rsid w:val="003859E8"/>
    <w:rsid w:val="003913DC"/>
    <w:rsid w:val="00392220"/>
    <w:rsid w:val="00397D15"/>
    <w:rsid w:val="003A4849"/>
    <w:rsid w:val="003A4A30"/>
    <w:rsid w:val="003A6492"/>
    <w:rsid w:val="003A6BB6"/>
    <w:rsid w:val="003B0416"/>
    <w:rsid w:val="003B76D3"/>
    <w:rsid w:val="003C2321"/>
    <w:rsid w:val="003C6243"/>
    <w:rsid w:val="003D085A"/>
    <w:rsid w:val="003D2BB9"/>
    <w:rsid w:val="003D3512"/>
    <w:rsid w:val="003D6036"/>
    <w:rsid w:val="003E60FF"/>
    <w:rsid w:val="003F035E"/>
    <w:rsid w:val="003F068E"/>
    <w:rsid w:val="004129A0"/>
    <w:rsid w:val="00413360"/>
    <w:rsid w:val="00421105"/>
    <w:rsid w:val="00422337"/>
    <w:rsid w:val="004226CE"/>
    <w:rsid w:val="00423771"/>
    <w:rsid w:val="00424B68"/>
    <w:rsid w:val="004400D3"/>
    <w:rsid w:val="00443F24"/>
    <w:rsid w:val="004511A4"/>
    <w:rsid w:val="00463C5C"/>
    <w:rsid w:val="00471D8D"/>
    <w:rsid w:val="004738D7"/>
    <w:rsid w:val="00475B2B"/>
    <w:rsid w:val="00476035"/>
    <w:rsid w:val="00491D94"/>
    <w:rsid w:val="0049738D"/>
    <w:rsid w:val="004A3F32"/>
    <w:rsid w:val="004A760C"/>
    <w:rsid w:val="004B008A"/>
    <w:rsid w:val="004B161B"/>
    <w:rsid w:val="004C112E"/>
    <w:rsid w:val="004C263B"/>
    <w:rsid w:val="004C56F9"/>
    <w:rsid w:val="004C781B"/>
    <w:rsid w:val="004D4FD3"/>
    <w:rsid w:val="004E137E"/>
    <w:rsid w:val="004E299D"/>
    <w:rsid w:val="004E38EA"/>
    <w:rsid w:val="004E6AE6"/>
    <w:rsid w:val="004F0F9A"/>
    <w:rsid w:val="004F2593"/>
    <w:rsid w:val="005034CF"/>
    <w:rsid w:val="0051285C"/>
    <w:rsid w:val="005147C2"/>
    <w:rsid w:val="0051573A"/>
    <w:rsid w:val="00523A12"/>
    <w:rsid w:val="005360B8"/>
    <w:rsid w:val="0054575C"/>
    <w:rsid w:val="00546749"/>
    <w:rsid w:val="00546955"/>
    <w:rsid w:val="005543CD"/>
    <w:rsid w:val="0055519C"/>
    <w:rsid w:val="00556790"/>
    <w:rsid w:val="0055755A"/>
    <w:rsid w:val="00562BBF"/>
    <w:rsid w:val="00562EDA"/>
    <w:rsid w:val="0056644A"/>
    <w:rsid w:val="0057343E"/>
    <w:rsid w:val="00575A3D"/>
    <w:rsid w:val="00577A46"/>
    <w:rsid w:val="005821B6"/>
    <w:rsid w:val="00582970"/>
    <w:rsid w:val="005858D3"/>
    <w:rsid w:val="0059137A"/>
    <w:rsid w:val="00591C7C"/>
    <w:rsid w:val="00594F5C"/>
    <w:rsid w:val="005A0A2B"/>
    <w:rsid w:val="005B460C"/>
    <w:rsid w:val="005B5F3D"/>
    <w:rsid w:val="005C06CE"/>
    <w:rsid w:val="005C2634"/>
    <w:rsid w:val="005D1CF8"/>
    <w:rsid w:val="005D2528"/>
    <w:rsid w:val="005E68AB"/>
    <w:rsid w:val="005F230E"/>
    <w:rsid w:val="005F343B"/>
    <w:rsid w:val="005F5F4C"/>
    <w:rsid w:val="005F78E2"/>
    <w:rsid w:val="0060080A"/>
    <w:rsid w:val="00602066"/>
    <w:rsid w:val="0060243C"/>
    <w:rsid w:val="006117FA"/>
    <w:rsid w:val="0061250C"/>
    <w:rsid w:val="00615553"/>
    <w:rsid w:val="00623E64"/>
    <w:rsid w:val="006244FC"/>
    <w:rsid w:val="00625771"/>
    <w:rsid w:val="00634930"/>
    <w:rsid w:val="006352CD"/>
    <w:rsid w:val="00640E73"/>
    <w:rsid w:val="00641553"/>
    <w:rsid w:val="00641D2E"/>
    <w:rsid w:val="006423AC"/>
    <w:rsid w:val="006437FF"/>
    <w:rsid w:val="00646D95"/>
    <w:rsid w:val="00661C42"/>
    <w:rsid w:val="006625BF"/>
    <w:rsid w:val="0066267A"/>
    <w:rsid w:val="006634B9"/>
    <w:rsid w:val="006638C4"/>
    <w:rsid w:val="0066706B"/>
    <w:rsid w:val="00667814"/>
    <w:rsid w:val="006703F9"/>
    <w:rsid w:val="0067221D"/>
    <w:rsid w:val="0067255D"/>
    <w:rsid w:val="006801C3"/>
    <w:rsid w:val="00682951"/>
    <w:rsid w:val="00687C30"/>
    <w:rsid w:val="006920EE"/>
    <w:rsid w:val="006A1750"/>
    <w:rsid w:val="006A3031"/>
    <w:rsid w:val="006A314D"/>
    <w:rsid w:val="006B24E9"/>
    <w:rsid w:val="006B3EEE"/>
    <w:rsid w:val="006B4CC0"/>
    <w:rsid w:val="006B64E4"/>
    <w:rsid w:val="006C4895"/>
    <w:rsid w:val="006D361C"/>
    <w:rsid w:val="006D3F2C"/>
    <w:rsid w:val="006D556F"/>
    <w:rsid w:val="006D6D04"/>
    <w:rsid w:val="006E5A03"/>
    <w:rsid w:val="006E7863"/>
    <w:rsid w:val="006F53CC"/>
    <w:rsid w:val="00700B10"/>
    <w:rsid w:val="00701022"/>
    <w:rsid w:val="007025CC"/>
    <w:rsid w:val="00703175"/>
    <w:rsid w:val="00707CFB"/>
    <w:rsid w:val="00707E73"/>
    <w:rsid w:val="0071074A"/>
    <w:rsid w:val="00711130"/>
    <w:rsid w:val="0072128F"/>
    <w:rsid w:val="00723B2D"/>
    <w:rsid w:val="00723DD2"/>
    <w:rsid w:val="00726C65"/>
    <w:rsid w:val="00727B8D"/>
    <w:rsid w:val="007343A4"/>
    <w:rsid w:val="00736446"/>
    <w:rsid w:val="007424E3"/>
    <w:rsid w:val="00750971"/>
    <w:rsid w:val="00751B9E"/>
    <w:rsid w:val="0075354C"/>
    <w:rsid w:val="0075449B"/>
    <w:rsid w:val="00754C94"/>
    <w:rsid w:val="0075582C"/>
    <w:rsid w:val="007565C3"/>
    <w:rsid w:val="00762FE6"/>
    <w:rsid w:val="00765260"/>
    <w:rsid w:val="00771411"/>
    <w:rsid w:val="0078054C"/>
    <w:rsid w:val="00784030"/>
    <w:rsid w:val="00786A25"/>
    <w:rsid w:val="00791E9F"/>
    <w:rsid w:val="007926C6"/>
    <w:rsid w:val="00794E0F"/>
    <w:rsid w:val="007952BA"/>
    <w:rsid w:val="007955F7"/>
    <w:rsid w:val="00795F20"/>
    <w:rsid w:val="007A0441"/>
    <w:rsid w:val="007A113A"/>
    <w:rsid w:val="007A2F60"/>
    <w:rsid w:val="007B0A35"/>
    <w:rsid w:val="007B15A8"/>
    <w:rsid w:val="007B35A7"/>
    <w:rsid w:val="007B3E81"/>
    <w:rsid w:val="007B5229"/>
    <w:rsid w:val="007B6491"/>
    <w:rsid w:val="007B696B"/>
    <w:rsid w:val="007C0FC1"/>
    <w:rsid w:val="007C14EA"/>
    <w:rsid w:val="007C250B"/>
    <w:rsid w:val="007C3D30"/>
    <w:rsid w:val="007C757B"/>
    <w:rsid w:val="007D4C99"/>
    <w:rsid w:val="007D5835"/>
    <w:rsid w:val="007E00B0"/>
    <w:rsid w:val="007E3195"/>
    <w:rsid w:val="007E3AB0"/>
    <w:rsid w:val="007E4D70"/>
    <w:rsid w:val="007F660C"/>
    <w:rsid w:val="008013CC"/>
    <w:rsid w:val="00804D76"/>
    <w:rsid w:val="00804FA9"/>
    <w:rsid w:val="00806993"/>
    <w:rsid w:val="00821E69"/>
    <w:rsid w:val="00823887"/>
    <w:rsid w:val="00823ECF"/>
    <w:rsid w:val="00830680"/>
    <w:rsid w:val="00833819"/>
    <w:rsid w:val="00840645"/>
    <w:rsid w:val="00844643"/>
    <w:rsid w:val="00851E25"/>
    <w:rsid w:val="00856846"/>
    <w:rsid w:val="0087228C"/>
    <w:rsid w:val="00877C31"/>
    <w:rsid w:val="00886D27"/>
    <w:rsid w:val="0089160F"/>
    <w:rsid w:val="00891B6C"/>
    <w:rsid w:val="00893F17"/>
    <w:rsid w:val="00896ECD"/>
    <w:rsid w:val="008A1C04"/>
    <w:rsid w:val="008B1B9B"/>
    <w:rsid w:val="008B4362"/>
    <w:rsid w:val="008B74E7"/>
    <w:rsid w:val="008B7588"/>
    <w:rsid w:val="008C0CEE"/>
    <w:rsid w:val="008C1F51"/>
    <w:rsid w:val="008C27B2"/>
    <w:rsid w:val="008C33D1"/>
    <w:rsid w:val="008C3746"/>
    <w:rsid w:val="008C39D3"/>
    <w:rsid w:val="008C4862"/>
    <w:rsid w:val="008D30A9"/>
    <w:rsid w:val="008D34CB"/>
    <w:rsid w:val="008D42E3"/>
    <w:rsid w:val="008D4E9D"/>
    <w:rsid w:val="008D6FF6"/>
    <w:rsid w:val="008D7E96"/>
    <w:rsid w:val="008E0D63"/>
    <w:rsid w:val="008E1C6A"/>
    <w:rsid w:val="008E499E"/>
    <w:rsid w:val="008E6360"/>
    <w:rsid w:val="008E7093"/>
    <w:rsid w:val="008F3477"/>
    <w:rsid w:val="008F6833"/>
    <w:rsid w:val="008F7E52"/>
    <w:rsid w:val="00906DDB"/>
    <w:rsid w:val="00913499"/>
    <w:rsid w:val="00914DE7"/>
    <w:rsid w:val="0092007B"/>
    <w:rsid w:val="00921A4F"/>
    <w:rsid w:val="00924359"/>
    <w:rsid w:val="00932EC5"/>
    <w:rsid w:val="00932F54"/>
    <w:rsid w:val="00933062"/>
    <w:rsid w:val="0093422D"/>
    <w:rsid w:val="009400BC"/>
    <w:rsid w:val="00942255"/>
    <w:rsid w:val="009536C1"/>
    <w:rsid w:val="009608A5"/>
    <w:rsid w:val="009636E5"/>
    <w:rsid w:val="009659BD"/>
    <w:rsid w:val="009676F9"/>
    <w:rsid w:val="0097054E"/>
    <w:rsid w:val="00971B84"/>
    <w:rsid w:val="00971DCE"/>
    <w:rsid w:val="00974242"/>
    <w:rsid w:val="00975B3B"/>
    <w:rsid w:val="00976C3A"/>
    <w:rsid w:val="0098133E"/>
    <w:rsid w:val="00983C6F"/>
    <w:rsid w:val="00984E8C"/>
    <w:rsid w:val="009854B2"/>
    <w:rsid w:val="009965FD"/>
    <w:rsid w:val="009A302D"/>
    <w:rsid w:val="009A5E00"/>
    <w:rsid w:val="009B26F4"/>
    <w:rsid w:val="009B32BD"/>
    <w:rsid w:val="009B3D25"/>
    <w:rsid w:val="009C243B"/>
    <w:rsid w:val="009C5E23"/>
    <w:rsid w:val="009D2ABA"/>
    <w:rsid w:val="009E1160"/>
    <w:rsid w:val="009E4F25"/>
    <w:rsid w:val="009E57AD"/>
    <w:rsid w:val="009E7478"/>
    <w:rsid w:val="009F2A96"/>
    <w:rsid w:val="009F79C3"/>
    <w:rsid w:val="00A0179F"/>
    <w:rsid w:val="00A035F4"/>
    <w:rsid w:val="00A0537A"/>
    <w:rsid w:val="00A07DE0"/>
    <w:rsid w:val="00A10821"/>
    <w:rsid w:val="00A157FF"/>
    <w:rsid w:val="00A214C7"/>
    <w:rsid w:val="00A35ABC"/>
    <w:rsid w:val="00A41AA2"/>
    <w:rsid w:val="00A453EB"/>
    <w:rsid w:val="00A556C1"/>
    <w:rsid w:val="00A65E91"/>
    <w:rsid w:val="00A71198"/>
    <w:rsid w:val="00A73BB2"/>
    <w:rsid w:val="00A7420B"/>
    <w:rsid w:val="00A75C16"/>
    <w:rsid w:val="00A7737A"/>
    <w:rsid w:val="00A7750F"/>
    <w:rsid w:val="00A80A5F"/>
    <w:rsid w:val="00A9154F"/>
    <w:rsid w:val="00A94399"/>
    <w:rsid w:val="00A9461A"/>
    <w:rsid w:val="00AA488A"/>
    <w:rsid w:val="00AA54BA"/>
    <w:rsid w:val="00AA63C7"/>
    <w:rsid w:val="00AB2321"/>
    <w:rsid w:val="00AB4762"/>
    <w:rsid w:val="00AB75DF"/>
    <w:rsid w:val="00AC440A"/>
    <w:rsid w:val="00AC448B"/>
    <w:rsid w:val="00AC6100"/>
    <w:rsid w:val="00AD08BD"/>
    <w:rsid w:val="00AD182E"/>
    <w:rsid w:val="00AE1628"/>
    <w:rsid w:val="00AE1C0E"/>
    <w:rsid w:val="00AE26C0"/>
    <w:rsid w:val="00AE2885"/>
    <w:rsid w:val="00AE6313"/>
    <w:rsid w:val="00AE643D"/>
    <w:rsid w:val="00AF115B"/>
    <w:rsid w:val="00AF2E6F"/>
    <w:rsid w:val="00AF34BA"/>
    <w:rsid w:val="00AF52A0"/>
    <w:rsid w:val="00B00EE6"/>
    <w:rsid w:val="00B11845"/>
    <w:rsid w:val="00B1603A"/>
    <w:rsid w:val="00B20C69"/>
    <w:rsid w:val="00B222F8"/>
    <w:rsid w:val="00B27E94"/>
    <w:rsid w:val="00B32708"/>
    <w:rsid w:val="00B328E6"/>
    <w:rsid w:val="00B42011"/>
    <w:rsid w:val="00B42D0A"/>
    <w:rsid w:val="00B43319"/>
    <w:rsid w:val="00B44FA4"/>
    <w:rsid w:val="00B45098"/>
    <w:rsid w:val="00B45391"/>
    <w:rsid w:val="00B50574"/>
    <w:rsid w:val="00B52847"/>
    <w:rsid w:val="00B57A7D"/>
    <w:rsid w:val="00B63506"/>
    <w:rsid w:val="00B660B9"/>
    <w:rsid w:val="00B75D7F"/>
    <w:rsid w:val="00B828C1"/>
    <w:rsid w:val="00B82CE7"/>
    <w:rsid w:val="00B8461C"/>
    <w:rsid w:val="00B9549A"/>
    <w:rsid w:val="00BA6917"/>
    <w:rsid w:val="00BA7463"/>
    <w:rsid w:val="00BC064B"/>
    <w:rsid w:val="00BC5155"/>
    <w:rsid w:val="00BC72A2"/>
    <w:rsid w:val="00BD27D1"/>
    <w:rsid w:val="00BD7045"/>
    <w:rsid w:val="00BE08CE"/>
    <w:rsid w:val="00BE0CB2"/>
    <w:rsid w:val="00BE4BB1"/>
    <w:rsid w:val="00BF113B"/>
    <w:rsid w:val="00BF1CD9"/>
    <w:rsid w:val="00C2005D"/>
    <w:rsid w:val="00C2029A"/>
    <w:rsid w:val="00C26BDA"/>
    <w:rsid w:val="00C346BC"/>
    <w:rsid w:val="00C349D9"/>
    <w:rsid w:val="00C3554C"/>
    <w:rsid w:val="00C360E4"/>
    <w:rsid w:val="00C406FF"/>
    <w:rsid w:val="00C40CAC"/>
    <w:rsid w:val="00C45000"/>
    <w:rsid w:val="00C4617C"/>
    <w:rsid w:val="00C50124"/>
    <w:rsid w:val="00C630A6"/>
    <w:rsid w:val="00C70C13"/>
    <w:rsid w:val="00C73434"/>
    <w:rsid w:val="00C77058"/>
    <w:rsid w:val="00C81D85"/>
    <w:rsid w:val="00C91E47"/>
    <w:rsid w:val="00C979CF"/>
    <w:rsid w:val="00CA1567"/>
    <w:rsid w:val="00CD1C75"/>
    <w:rsid w:val="00CD2D5A"/>
    <w:rsid w:val="00CD31B7"/>
    <w:rsid w:val="00CD33CD"/>
    <w:rsid w:val="00CD67B6"/>
    <w:rsid w:val="00CD72DA"/>
    <w:rsid w:val="00CD7F6E"/>
    <w:rsid w:val="00CE14CB"/>
    <w:rsid w:val="00CE17EA"/>
    <w:rsid w:val="00CE1AEE"/>
    <w:rsid w:val="00CE69AF"/>
    <w:rsid w:val="00CF1D0E"/>
    <w:rsid w:val="00CF2D7A"/>
    <w:rsid w:val="00CF33D9"/>
    <w:rsid w:val="00CF4803"/>
    <w:rsid w:val="00CF75D4"/>
    <w:rsid w:val="00D05119"/>
    <w:rsid w:val="00D06309"/>
    <w:rsid w:val="00D06F7D"/>
    <w:rsid w:val="00D075F2"/>
    <w:rsid w:val="00D13175"/>
    <w:rsid w:val="00D148AB"/>
    <w:rsid w:val="00D16ACB"/>
    <w:rsid w:val="00D23878"/>
    <w:rsid w:val="00D348AB"/>
    <w:rsid w:val="00D3606E"/>
    <w:rsid w:val="00D42FA2"/>
    <w:rsid w:val="00D4363D"/>
    <w:rsid w:val="00D45214"/>
    <w:rsid w:val="00D4688F"/>
    <w:rsid w:val="00D50FB1"/>
    <w:rsid w:val="00D77F05"/>
    <w:rsid w:val="00D82576"/>
    <w:rsid w:val="00D84606"/>
    <w:rsid w:val="00D920C0"/>
    <w:rsid w:val="00D95EF1"/>
    <w:rsid w:val="00D974E9"/>
    <w:rsid w:val="00DA4382"/>
    <w:rsid w:val="00DA474D"/>
    <w:rsid w:val="00DA55AF"/>
    <w:rsid w:val="00DB2F02"/>
    <w:rsid w:val="00DB3A32"/>
    <w:rsid w:val="00DB4242"/>
    <w:rsid w:val="00DB565C"/>
    <w:rsid w:val="00DC2A8D"/>
    <w:rsid w:val="00DC2AD9"/>
    <w:rsid w:val="00DC3258"/>
    <w:rsid w:val="00DC3E23"/>
    <w:rsid w:val="00DD102A"/>
    <w:rsid w:val="00DD1385"/>
    <w:rsid w:val="00DE4BBE"/>
    <w:rsid w:val="00DE6AC4"/>
    <w:rsid w:val="00DF0425"/>
    <w:rsid w:val="00DF1643"/>
    <w:rsid w:val="00DF63AC"/>
    <w:rsid w:val="00E07D77"/>
    <w:rsid w:val="00E11B23"/>
    <w:rsid w:val="00E12F58"/>
    <w:rsid w:val="00E13A73"/>
    <w:rsid w:val="00E142F6"/>
    <w:rsid w:val="00E21FBA"/>
    <w:rsid w:val="00E267E6"/>
    <w:rsid w:val="00E3462A"/>
    <w:rsid w:val="00E34B91"/>
    <w:rsid w:val="00E36C38"/>
    <w:rsid w:val="00E37BE6"/>
    <w:rsid w:val="00E419B8"/>
    <w:rsid w:val="00E43684"/>
    <w:rsid w:val="00E45DEE"/>
    <w:rsid w:val="00E534F8"/>
    <w:rsid w:val="00E56288"/>
    <w:rsid w:val="00E6779A"/>
    <w:rsid w:val="00E71DD4"/>
    <w:rsid w:val="00E726BA"/>
    <w:rsid w:val="00E744E2"/>
    <w:rsid w:val="00E7549F"/>
    <w:rsid w:val="00E769E0"/>
    <w:rsid w:val="00E76D54"/>
    <w:rsid w:val="00E80D55"/>
    <w:rsid w:val="00E82496"/>
    <w:rsid w:val="00E83B30"/>
    <w:rsid w:val="00E83E53"/>
    <w:rsid w:val="00E9069A"/>
    <w:rsid w:val="00E91772"/>
    <w:rsid w:val="00E96751"/>
    <w:rsid w:val="00EB2175"/>
    <w:rsid w:val="00EB5E1D"/>
    <w:rsid w:val="00EB6753"/>
    <w:rsid w:val="00EC0C3D"/>
    <w:rsid w:val="00EC4F74"/>
    <w:rsid w:val="00EC4F9C"/>
    <w:rsid w:val="00ED3D10"/>
    <w:rsid w:val="00EE35A9"/>
    <w:rsid w:val="00EE6B26"/>
    <w:rsid w:val="00F03D1D"/>
    <w:rsid w:val="00F1371E"/>
    <w:rsid w:val="00F15083"/>
    <w:rsid w:val="00F2180A"/>
    <w:rsid w:val="00F2307D"/>
    <w:rsid w:val="00F24860"/>
    <w:rsid w:val="00F255FE"/>
    <w:rsid w:val="00F26CB3"/>
    <w:rsid w:val="00F310F8"/>
    <w:rsid w:val="00F32A41"/>
    <w:rsid w:val="00F34C6D"/>
    <w:rsid w:val="00F359C4"/>
    <w:rsid w:val="00F42FA9"/>
    <w:rsid w:val="00F46C70"/>
    <w:rsid w:val="00F56DF7"/>
    <w:rsid w:val="00F60030"/>
    <w:rsid w:val="00F61827"/>
    <w:rsid w:val="00F62244"/>
    <w:rsid w:val="00F640CB"/>
    <w:rsid w:val="00F742C0"/>
    <w:rsid w:val="00F75030"/>
    <w:rsid w:val="00F76C34"/>
    <w:rsid w:val="00F86864"/>
    <w:rsid w:val="00F92062"/>
    <w:rsid w:val="00F97AFB"/>
    <w:rsid w:val="00F97C6A"/>
    <w:rsid w:val="00FA0169"/>
    <w:rsid w:val="00FA12C0"/>
    <w:rsid w:val="00FA1CB9"/>
    <w:rsid w:val="00FB10F7"/>
    <w:rsid w:val="00FB2C7A"/>
    <w:rsid w:val="00FC0570"/>
    <w:rsid w:val="00FC2AD4"/>
    <w:rsid w:val="00FC7A46"/>
    <w:rsid w:val="00FD4F8F"/>
    <w:rsid w:val="00FD605E"/>
    <w:rsid w:val="00FD73C0"/>
    <w:rsid w:val="00FE0C43"/>
    <w:rsid w:val="00FE13CE"/>
    <w:rsid w:val="00FE558C"/>
    <w:rsid w:val="00FE5C2D"/>
    <w:rsid w:val="00FF2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7C55C9"/>
  <w15:docId w15:val="{C5870BE0-DF68-45A4-BB1D-49AA6A9D1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widowControl w:val="0"/>
        <w:pBdr>
          <w:top w:val="nil"/>
          <w:left w:val="nil"/>
          <w:bottom w:val="nil"/>
          <w:right w:val="nil"/>
          <w:between w:val="nil"/>
        </w:pBd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97161"/>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536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6C1"/>
    <w:rPr>
      <w:rFonts w:ascii="Segoe UI" w:hAnsi="Segoe UI" w:cs="Segoe UI"/>
      <w:sz w:val="18"/>
      <w:szCs w:val="18"/>
    </w:rPr>
  </w:style>
  <w:style w:type="character" w:styleId="Hyperlink">
    <w:name w:val="Hyperlink"/>
    <w:basedOn w:val="DefaultParagraphFont"/>
    <w:unhideWhenUsed/>
    <w:rsid w:val="00726C65"/>
    <w:rPr>
      <w:color w:val="0000FF"/>
      <w:u w:val="single"/>
    </w:rPr>
  </w:style>
  <w:style w:type="paragraph" w:styleId="CommentSubject">
    <w:name w:val="annotation subject"/>
    <w:basedOn w:val="CommentText"/>
    <w:next w:val="CommentText"/>
    <w:link w:val="CommentSubjectChar"/>
    <w:uiPriority w:val="99"/>
    <w:semiHidden/>
    <w:unhideWhenUsed/>
    <w:rsid w:val="00FD4F8F"/>
    <w:rPr>
      <w:b/>
      <w:bCs/>
    </w:rPr>
  </w:style>
  <w:style w:type="character" w:customStyle="1" w:styleId="CommentSubjectChar">
    <w:name w:val="Comment Subject Char"/>
    <w:basedOn w:val="CommentTextChar"/>
    <w:link w:val="CommentSubject"/>
    <w:uiPriority w:val="99"/>
    <w:semiHidden/>
    <w:rsid w:val="00FD4F8F"/>
    <w:rPr>
      <w:b/>
      <w:bCs/>
      <w:sz w:val="20"/>
      <w:szCs w:val="20"/>
    </w:rPr>
  </w:style>
  <w:style w:type="table" w:styleId="TableGrid">
    <w:name w:val="Table Grid"/>
    <w:basedOn w:val="TableNormal"/>
    <w:uiPriority w:val="39"/>
    <w:rsid w:val="004E6AE6"/>
    <w:pPr>
      <w:widowControl/>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9400BC"/>
    <w:rPr>
      <w:i/>
      <w:iCs/>
    </w:rPr>
  </w:style>
  <w:style w:type="paragraph" w:styleId="ListBullet">
    <w:name w:val="List Bullet"/>
    <w:basedOn w:val="Normal"/>
    <w:uiPriority w:val="99"/>
    <w:unhideWhenUsed/>
    <w:rsid w:val="00DF1643"/>
    <w:pPr>
      <w:numPr>
        <w:numId w:val="1"/>
      </w:numPr>
      <w:contextualSpacing/>
    </w:pPr>
  </w:style>
  <w:style w:type="paragraph" w:styleId="HTMLPreformatted">
    <w:name w:val="HTML Preformatted"/>
    <w:basedOn w:val="Normal"/>
    <w:link w:val="HTMLPreformattedChar"/>
    <w:uiPriority w:val="99"/>
    <w:unhideWhenUsed/>
    <w:rsid w:val="00F97C6A"/>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rsid w:val="00F97C6A"/>
    <w:rPr>
      <w:rFonts w:ascii="Courier New" w:eastAsia="Times New Roman" w:hAnsi="Courier New" w:cs="Courier New"/>
      <w:color w:val="auto"/>
      <w:sz w:val="20"/>
      <w:szCs w:val="20"/>
    </w:rPr>
  </w:style>
  <w:style w:type="character" w:customStyle="1" w:styleId="m2136854036645320387gmail-il">
    <w:name w:val="m_2136854036645320387gmail-il"/>
    <w:basedOn w:val="DefaultParagraphFont"/>
    <w:rsid w:val="00F97C6A"/>
  </w:style>
  <w:style w:type="paragraph" w:styleId="Header">
    <w:name w:val="header"/>
    <w:basedOn w:val="Normal"/>
    <w:link w:val="HeaderChar"/>
    <w:uiPriority w:val="99"/>
    <w:unhideWhenUsed/>
    <w:rsid w:val="003732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25E"/>
  </w:style>
  <w:style w:type="paragraph" w:styleId="Footer">
    <w:name w:val="footer"/>
    <w:basedOn w:val="Normal"/>
    <w:link w:val="FooterChar"/>
    <w:uiPriority w:val="99"/>
    <w:unhideWhenUsed/>
    <w:rsid w:val="003732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25E"/>
  </w:style>
  <w:style w:type="paragraph" w:styleId="ListParagraph">
    <w:name w:val="List Paragraph"/>
    <w:basedOn w:val="Normal"/>
    <w:uiPriority w:val="34"/>
    <w:qFormat/>
    <w:rsid w:val="003A6492"/>
    <w:pPr>
      <w:ind w:left="720"/>
      <w:contextualSpacing/>
    </w:pPr>
  </w:style>
  <w:style w:type="character" w:styleId="UnresolvedMention">
    <w:name w:val="Unresolved Mention"/>
    <w:basedOn w:val="DefaultParagraphFont"/>
    <w:uiPriority w:val="99"/>
    <w:semiHidden/>
    <w:unhideWhenUsed/>
    <w:rsid w:val="00823ECF"/>
    <w:rPr>
      <w:color w:val="808080"/>
      <w:shd w:val="clear" w:color="auto" w:fill="E6E6E6"/>
    </w:rPr>
  </w:style>
  <w:style w:type="paragraph" w:styleId="NormalWeb">
    <w:name w:val="Normal (Web)"/>
    <w:basedOn w:val="Normal"/>
    <w:uiPriority w:val="99"/>
    <w:semiHidden/>
    <w:unhideWhenUsed/>
    <w:rsid w:val="00096104"/>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EndNoteBibliography">
    <w:name w:val="EndNote Bibliography"/>
    <w:basedOn w:val="Normal"/>
    <w:link w:val="EndNoteBibliographyChar"/>
    <w:rsid w:val="00942255"/>
    <w:pPr>
      <w:widowControl/>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noProof/>
      <w:color w:val="00000A"/>
      <w:sz w:val="24"/>
    </w:rPr>
  </w:style>
  <w:style w:type="character" w:customStyle="1" w:styleId="EndNoteBibliographyChar">
    <w:name w:val="EndNote Bibliography Char"/>
    <w:basedOn w:val="DefaultParagraphFont"/>
    <w:link w:val="EndNoteBibliography"/>
    <w:rsid w:val="00942255"/>
    <w:rPr>
      <w:rFonts w:ascii="Times New Roman" w:eastAsia="Times New Roman" w:hAnsi="Times New Roman" w:cs="Times New Roman"/>
      <w:noProof/>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611392">
      <w:bodyDiv w:val="1"/>
      <w:marLeft w:val="0"/>
      <w:marRight w:val="0"/>
      <w:marTop w:val="0"/>
      <w:marBottom w:val="0"/>
      <w:divBdr>
        <w:top w:val="none" w:sz="0" w:space="0" w:color="auto"/>
        <w:left w:val="none" w:sz="0" w:space="0" w:color="auto"/>
        <w:bottom w:val="none" w:sz="0" w:space="0" w:color="auto"/>
        <w:right w:val="none" w:sz="0" w:space="0" w:color="auto"/>
      </w:divBdr>
    </w:div>
    <w:div w:id="248195209">
      <w:bodyDiv w:val="1"/>
      <w:marLeft w:val="0"/>
      <w:marRight w:val="0"/>
      <w:marTop w:val="0"/>
      <w:marBottom w:val="0"/>
      <w:divBdr>
        <w:top w:val="none" w:sz="0" w:space="0" w:color="auto"/>
        <w:left w:val="none" w:sz="0" w:space="0" w:color="auto"/>
        <w:bottom w:val="none" w:sz="0" w:space="0" w:color="auto"/>
        <w:right w:val="none" w:sz="0" w:space="0" w:color="auto"/>
      </w:divBdr>
    </w:div>
    <w:div w:id="316692663">
      <w:bodyDiv w:val="1"/>
      <w:marLeft w:val="0"/>
      <w:marRight w:val="0"/>
      <w:marTop w:val="0"/>
      <w:marBottom w:val="0"/>
      <w:divBdr>
        <w:top w:val="none" w:sz="0" w:space="0" w:color="auto"/>
        <w:left w:val="none" w:sz="0" w:space="0" w:color="auto"/>
        <w:bottom w:val="none" w:sz="0" w:space="0" w:color="auto"/>
        <w:right w:val="none" w:sz="0" w:space="0" w:color="auto"/>
      </w:divBdr>
      <w:divsChild>
        <w:div w:id="1145731770">
          <w:marLeft w:val="0"/>
          <w:marRight w:val="0"/>
          <w:marTop w:val="0"/>
          <w:marBottom w:val="0"/>
          <w:divBdr>
            <w:top w:val="none" w:sz="0" w:space="0" w:color="auto"/>
            <w:left w:val="none" w:sz="0" w:space="0" w:color="auto"/>
            <w:bottom w:val="none" w:sz="0" w:space="0" w:color="auto"/>
            <w:right w:val="none" w:sz="0" w:space="0" w:color="auto"/>
          </w:divBdr>
        </w:div>
        <w:div w:id="1423334584">
          <w:marLeft w:val="0"/>
          <w:marRight w:val="0"/>
          <w:marTop w:val="0"/>
          <w:marBottom w:val="0"/>
          <w:divBdr>
            <w:top w:val="none" w:sz="0" w:space="0" w:color="auto"/>
            <w:left w:val="none" w:sz="0" w:space="0" w:color="auto"/>
            <w:bottom w:val="none" w:sz="0" w:space="0" w:color="auto"/>
            <w:right w:val="none" w:sz="0" w:space="0" w:color="auto"/>
          </w:divBdr>
        </w:div>
        <w:div w:id="671688906">
          <w:marLeft w:val="0"/>
          <w:marRight w:val="0"/>
          <w:marTop w:val="0"/>
          <w:marBottom w:val="0"/>
          <w:divBdr>
            <w:top w:val="none" w:sz="0" w:space="0" w:color="auto"/>
            <w:left w:val="none" w:sz="0" w:space="0" w:color="auto"/>
            <w:bottom w:val="none" w:sz="0" w:space="0" w:color="auto"/>
            <w:right w:val="none" w:sz="0" w:space="0" w:color="auto"/>
          </w:divBdr>
        </w:div>
        <w:div w:id="1838379312">
          <w:marLeft w:val="0"/>
          <w:marRight w:val="0"/>
          <w:marTop w:val="0"/>
          <w:marBottom w:val="0"/>
          <w:divBdr>
            <w:top w:val="none" w:sz="0" w:space="0" w:color="auto"/>
            <w:left w:val="none" w:sz="0" w:space="0" w:color="auto"/>
            <w:bottom w:val="none" w:sz="0" w:space="0" w:color="auto"/>
            <w:right w:val="none" w:sz="0" w:space="0" w:color="auto"/>
          </w:divBdr>
        </w:div>
        <w:div w:id="1604606388">
          <w:marLeft w:val="0"/>
          <w:marRight w:val="0"/>
          <w:marTop w:val="0"/>
          <w:marBottom w:val="0"/>
          <w:divBdr>
            <w:top w:val="none" w:sz="0" w:space="0" w:color="auto"/>
            <w:left w:val="none" w:sz="0" w:space="0" w:color="auto"/>
            <w:bottom w:val="none" w:sz="0" w:space="0" w:color="auto"/>
            <w:right w:val="none" w:sz="0" w:space="0" w:color="auto"/>
          </w:divBdr>
        </w:div>
        <w:div w:id="2005473045">
          <w:marLeft w:val="0"/>
          <w:marRight w:val="0"/>
          <w:marTop w:val="0"/>
          <w:marBottom w:val="0"/>
          <w:divBdr>
            <w:top w:val="none" w:sz="0" w:space="0" w:color="auto"/>
            <w:left w:val="none" w:sz="0" w:space="0" w:color="auto"/>
            <w:bottom w:val="none" w:sz="0" w:space="0" w:color="auto"/>
            <w:right w:val="none" w:sz="0" w:space="0" w:color="auto"/>
          </w:divBdr>
        </w:div>
      </w:divsChild>
    </w:div>
    <w:div w:id="1687632325">
      <w:bodyDiv w:val="1"/>
      <w:marLeft w:val="0"/>
      <w:marRight w:val="0"/>
      <w:marTop w:val="0"/>
      <w:marBottom w:val="0"/>
      <w:divBdr>
        <w:top w:val="none" w:sz="0" w:space="0" w:color="auto"/>
        <w:left w:val="none" w:sz="0" w:space="0" w:color="auto"/>
        <w:bottom w:val="none" w:sz="0" w:space="0" w:color="auto"/>
        <w:right w:val="none" w:sz="0" w:space="0" w:color="auto"/>
      </w:divBdr>
    </w:div>
    <w:div w:id="1693920370">
      <w:bodyDiv w:val="1"/>
      <w:marLeft w:val="0"/>
      <w:marRight w:val="0"/>
      <w:marTop w:val="0"/>
      <w:marBottom w:val="0"/>
      <w:divBdr>
        <w:top w:val="none" w:sz="0" w:space="0" w:color="auto"/>
        <w:left w:val="none" w:sz="0" w:space="0" w:color="auto"/>
        <w:bottom w:val="none" w:sz="0" w:space="0" w:color="auto"/>
        <w:right w:val="none" w:sz="0" w:space="0" w:color="auto"/>
      </w:divBdr>
    </w:div>
    <w:div w:id="1798404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3C27DEC5-487B-4C90-B83E-0DAE18853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3697</Words>
  <Characters>21078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Gobet</dc:creator>
  <cp:lastModifiedBy>Eugenia Hambrick</cp:lastModifiedBy>
  <cp:revision>6</cp:revision>
  <cp:lastPrinted>2018-08-11T17:45:00Z</cp:lastPrinted>
  <dcterms:created xsi:type="dcterms:W3CDTF">2018-08-15T14:58:00Z</dcterms:created>
  <dcterms:modified xsi:type="dcterms:W3CDTF">2018-09-11T22:23:00Z</dcterms:modified>
</cp:coreProperties>
</file>